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24B65" w14:textId="6B1D1940" w:rsidR="005B0BC5" w:rsidRPr="001B1FDF" w:rsidRDefault="005B0BC5" w:rsidP="005B0BC5">
      <w:pPr>
        <w:widowControl w:val="0"/>
        <w:tabs>
          <w:tab w:val="left" w:pos="1985"/>
        </w:tabs>
        <w:rPr>
          <w:rFonts w:ascii="Arial" w:eastAsia="MS Mincho"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w:t>
      </w:r>
      <w:r w:rsidR="00447204">
        <w:rPr>
          <w:rFonts w:ascii="Arial" w:hAnsi="Arial" w:cs="Arial"/>
          <w:b/>
          <w:noProof/>
          <w:sz w:val="24"/>
          <w:szCs w:val="24"/>
          <w:lang w:eastAsia="en-US"/>
        </w:rPr>
        <w:t>10</w:t>
      </w:r>
      <w:r w:rsidR="003654AA">
        <w:rPr>
          <w:rFonts w:ascii="Arial" w:hAnsi="Arial" w:cs="Arial"/>
          <w:b/>
          <w:noProof/>
          <w:sz w:val="24"/>
          <w:szCs w:val="24"/>
          <w:lang w:eastAsia="en-US"/>
        </w:rPr>
        <w:t>5</w:t>
      </w:r>
      <w:r w:rsidR="00447204">
        <w:rPr>
          <w:rFonts w:ascii="Arial" w:hAnsi="Arial" w:cs="Arial"/>
          <w:b/>
          <w:noProof/>
          <w:sz w:val="24"/>
          <w:szCs w:val="24"/>
          <w:lang w:eastAsia="en-US"/>
        </w:rPr>
        <w:t>-</w:t>
      </w:r>
      <w:r w:rsidR="00447204">
        <w:rPr>
          <w:rFonts w:ascii="Arial" w:hAnsi="Arial" w:cs="Arial" w:hint="eastAsia"/>
          <w:b/>
          <w:noProof/>
          <w:sz w:val="24"/>
          <w:szCs w:val="24"/>
          <w:lang w:eastAsia="ko-KR"/>
        </w:rPr>
        <w:t>e</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447204">
        <w:rPr>
          <w:rFonts w:ascii="Arial" w:hAnsi="Arial" w:cs="Arial"/>
          <w:b/>
          <w:noProof/>
          <w:sz w:val="24"/>
          <w:szCs w:val="24"/>
        </w:rPr>
        <w:t xml:space="preserve">   </w:t>
      </w:r>
      <w:r>
        <w:rPr>
          <w:rFonts w:ascii="Arial" w:hAnsi="Arial" w:cs="Arial"/>
          <w:b/>
          <w:noProof/>
          <w:sz w:val="24"/>
          <w:szCs w:val="24"/>
        </w:rPr>
        <w:t xml:space="preserve">      </w:t>
      </w:r>
      <w:r w:rsidR="003F2495" w:rsidRPr="003F2495">
        <w:rPr>
          <w:rFonts w:ascii="Arial" w:hAnsi="Arial" w:cs="Arial"/>
          <w:b/>
          <w:noProof/>
          <w:sz w:val="24"/>
          <w:szCs w:val="24"/>
        </w:rPr>
        <w:t>R1-2105223</w:t>
      </w:r>
    </w:p>
    <w:p w14:paraId="3CE32248" w14:textId="5F9E1F57" w:rsidR="005B0BC5" w:rsidRDefault="00447204" w:rsidP="005B0BC5">
      <w:pPr>
        <w:widowControl w:val="0"/>
        <w:tabs>
          <w:tab w:val="left" w:pos="1985"/>
        </w:tabs>
        <w:rPr>
          <w:rFonts w:ascii="Arial" w:hAnsi="Arial" w:cs="Arial"/>
          <w:b/>
          <w:sz w:val="24"/>
          <w:szCs w:val="24"/>
          <w:lang w:eastAsia="ko-KR"/>
        </w:rPr>
      </w:pPr>
      <w:r w:rsidRPr="00447204">
        <w:rPr>
          <w:rFonts w:ascii="Arial" w:eastAsia="MS Mincho" w:hAnsi="Arial" w:cs="Arial"/>
          <w:b/>
          <w:bCs/>
          <w:sz w:val="24"/>
          <w:szCs w:val="24"/>
        </w:rPr>
        <w:t xml:space="preserve">e-Meeting, </w:t>
      </w:r>
      <w:r w:rsidR="003654AA">
        <w:rPr>
          <w:rFonts w:ascii="Arial" w:eastAsia="MS Mincho" w:hAnsi="Arial" w:cs="Arial"/>
          <w:b/>
          <w:bCs/>
          <w:sz w:val="24"/>
          <w:szCs w:val="24"/>
        </w:rPr>
        <w:t>May</w:t>
      </w:r>
      <w:r w:rsidR="00D313CB" w:rsidRPr="00D313CB">
        <w:rPr>
          <w:rFonts w:ascii="Arial" w:eastAsia="MS Mincho" w:hAnsi="Arial" w:cs="Arial"/>
          <w:b/>
          <w:bCs/>
          <w:sz w:val="24"/>
          <w:szCs w:val="24"/>
        </w:rPr>
        <w:t xml:space="preserve"> </w:t>
      </w:r>
      <w:r w:rsidR="003654AA">
        <w:rPr>
          <w:rFonts w:ascii="Arial" w:eastAsia="MS Mincho" w:hAnsi="Arial" w:cs="Arial"/>
          <w:b/>
          <w:bCs/>
          <w:sz w:val="24"/>
          <w:szCs w:val="24"/>
        </w:rPr>
        <w:t>10</w:t>
      </w:r>
      <w:r w:rsidR="00D313CB" w:rsidRPr="00D313CB">
        <w:rPr>
          <w:rFonts w:ascii="Arial" w:eastAsia="MS Mincho" w:hAnsi="Arial" w:cs="Arial"/>
          <w:b/>
          <w:bCs/>
          <w:sz w:val="24"/>
          <w:szCs w:val="24"/>
          <w:vertAlign w:val="superscript"/>
        </w:rPr>
        <w:t>th</w:t>
      </w:r>
      <w:r w:rsidR="00D313CB" w:rsidRPr="00D313CB">
        <w:rPr>
          <w:rFonts w:ascii="Arial" w:eastAsia="MS Mincho" w:hAnsi="Arial" w:cs="Arial"/>
          <w:b/>
          <w:bCs/>
          <w:sz w:val="24"/>
          <w:szCs w:val="24"/>
        </w:rPr>
        <w:t xml:space="preserve"> – </w:t>
      </w:r>
      <w:r w:rsidR="003654AA">
        <w:rPr>
          <w:rFonts w:ascii="Arial" w:eastAsia="MS Mincho" w:hAnsi="Arial" w:cs="Arial"/>
          <w:b/>
          <w:bCs/>
          <w:sz w:val="24"/>
          <w:szCs w:val="24"/>
        </w:rPr>
        <w:t>27</w:t>
      </w:r>
      <w:r w:rsidR="00D313CB" w:rsidRPr="00D313CB">
        <w:rPr>
          <w:rFonts w:ascii="Arial" w:eastAsia="MS Mincho" w:hAnsi="Arial" w:cs="Arial"/>
          <w:b/>
          <w:bCs/>
          <w:sz w:val="24"/>
          <w:szCs w:val="24"/>
          <w:vertAlign w:val="superscript"/>
        </w:rPr>
        <w:t>th</w:t>
      </w:r>
      <w:r w:rsidR="00D313CB" w:rsidRPr="00D313CB">
        <w:rPr>
          <w:rFonts w:ascii="Arial" w:eastAsia="MS Mincho" w:hAnsi="Arial" w:cs="Arial"/>
          <w:b/>
          <w:bCs/>
          <w:sz w:val="24"/>
          <w:szCs w:val="24"/>
        </w:rPr>
        <w:t>, 2021</w:t>
      </w:r>
    </w:p>
    <w:p w14:paraId="70A6EDA9" w14:textId="77777777" w:rsidR="005B0BC5" w:rsidRPr="003654AA" w:rsidRDefault="005B0BC5" w:rsidP="005B0BC5">
      <w:pPr>
        <w:widowControl w:val="0"/>
        <w:tabs>
          <w:tab w:val="left" w:pos="1985"/>
        </w:tabs>
        <w:rPr>
          <w:rFonts w:ascii="Arial" w:hAnsi="Arial" w:cs="Arial"/>
          <w:b/>
          <w:sz w:val="24"/>
          <w:szCs w:val="24"/>
          <w:lang w:eastAsia="ko-KR"/>
        </w:rPr>
      </w:pPr>
    </w:p>
    <w:p w14:paraId="4EF84D80" w14:textId="77777777" w:rsidR="005B0BC5" w:rsidRPr="00B41541" w:rsidRDefault="005B0BC5" w:rsidP="005B0BC5">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26C210ED" w14:textId="4D5FA440" w:rsidR="005B0BC5" w:rsidRPr="00B41541" w:rsidRDefault="005B0BC5" w:rsidP="005B0BC5">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F87B66" w:rsidRPr="00F87B66">
        <w:rPr>
          <w:rFonts w:cs="Arial"/>
          <w:b/>
          <w:sz w:val="24"/>
          <w:szCs w:val="24"/>
          <w:lang w:eastAsia="ko-KR"/>
        </w:rPr>
        <w:t xml:space="preserve">Discussion on </w:t>
      </w:r>
      <w:r w:rsidR="00B07312">
        <w:rPr>
          <w:rFonts w:cs="Arial"/>
          <w:b/>
          <w:sz w:val="24"/>
          <w:szCs w:val="24"/>
          <w:lang w:eastAsia="ko-KR"/>
        </w:rPr>
        <w:t>beam management</w:t>
      </w:r>
      <w:r w:rsidR="00F87B66" w:rsidRPr="00F87B66">
        <w:rPr>
          <w:rFonts w:cs="Arial"/>
          <w:b/>
          <w:sz w:val="24"/>
          <w:szCs w:val="24"/>
          <w:lang w:eastAsia="ko-KR"/>
        </w:rPr>
        <w:t xml:space="preserve"> for NTN</w:t>
      </w:r>
    </w:p>
    <w:p w14:paraId="7E101D60" w14:textId="56C9900F" w:rsidR="005B0BC5" w:rsidRPr="00B41541" w:rsidRDefault="005B0BC5" w:rsidP="005B0BC5">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447204">
        <w:rPr>
          <w:rFonts w:cs="Arial"/>
          <w:b/>
          <w:sz w:val="24"/>
          <w:szCs w:val="24"/>
          <w:lang w:eastAsia="ko-KR"/>
        </w:rPr>
        <w:t>8.4.</w:t>
      </w:r>
      <w:r w:rsidR="003654AA">
        <w:rPr>
          <w:rFonts w:cs="Arial"/>
          <w:b/>
          <w:sz w:val="24"/>
          <w:szCs w:val="24"/>
          <w:lang w:eastAsia="ko-KR"/>
        </w:rPr>
        <w:t>4</w:t>
      </w:r>
    </w:p>
    <w:bookmarkEnd w:id="0"/>
    <w:p w14:paraId="4B43DE71" w14:textId="77777777" w:rsidR="005B0BC5" w:rsidRPr="00AA30A7" w:rsidRDefault="005B0BC5" w:rsidP="005B0BC5">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6402ADB" w14:textId="0F153276" w:rsidR="009F7296" w:rsidRPr="008E08AE" w:rsidRDefault="00BD667A" w:rsidP="008E08AE">
      <w:pPr>
        <w:pStyle w:val="maintext"/>
        <w:ind w:firstLine="440"/>
      </w:pPr>
      <w:r w:rsidRPr="008E08AE">
        <w:t>In RAN</w:t>
      </w:r>
      <w:r w:rsidR="000C074D" w:rsidRPr="008E08AE">
        <w:t>1</w:t>
      </w:r>
      <w:r w:rsidRPr="008E08AE">
        <w:t>#</w:t>
      </w:r>
      <w:r w:rsidR="000C074D" w:rsidRPr="008E08AE">
        <w:t>10</w:t>
      </w:r>
      <w:r w:rsidR="00BC0B4B" w:rsidRPr="008E08AE">
        <w:t>4</w:t>
      </w:r>
      <w:r w:rsidR="001F6EA7" w:rsidRPr="008E08AE">
        <w:t>-</w:t>
      </w:r>
      <w:r w:rsidRPr="008E08AE">
        <w:t>e</w:t>
      </w:r>
      <w:r w:rsidR="009F7296" w:rsidRPr="008E08AE">
        <w:t>, the following ha</w:t>
      </w:r>
      <w:r w:rsidRPr="008E08AE">
        <w:t xml:space="preserve">s </w:t>
      </w:r>
      <w:r w:rsidR="009F7296" w:rsidRPr="008E08AE">
        <w:t xml:space="preserve">been </w:t>
      </w:r>
      <w:r w:rsidR="00BC0B4B" w:rsidRPr="008E08AE">
        <w:t>conclud</w:t>
      </w:r>
      <w:r w:rsidR="009F7296" w:rsidRPr="008E08AE">
        <w:t xml:space="preserve">ed on the </w:t>
      </w:r>
      <w:r w:rsidR="00BC0B4B" w:rsidRPr="008E08AE">
        <w:t xml:space="preserve">NTN beam management </w:t>
      </w:r>
      <w:r w:rsidR="00FE7E07" w:rsidRPr="008E08AE">
        <w:t>[1]</w:t>
      </w:r>
      <w:r w:rsidR="009F7296" w:rsidRPr="008E08AE">
        <w:t>.</w:t>
      </w:r>
    </w:p>
    <w:tbl>
      <w:tblPr>
        <w:tblStyle w:val="af9"/>
        <w:tblW w:w="0" w:type="auto"/>
        <w:tblLook w:val="04A0" w:firstRow="1" w:lastRow="0" w:firstColumn="1" w:lastColumn="0" w:noHBand="0" w:noVBand="1"/>
      </w:tblPr>
      <w:tblGrid>
        <w:gridCol w:w="9962"/>
      </w:tblGrid>
      <w:tr w:rsidR="009F7296" w14:paraId="4BB8C1DC" w14:textId="77777777" w:rsidTr="009F7296">
        <w:tc>
          <w:tcPr>
            <w:tcW w:w="9962" w:type="dxa"/>
          </w:tcPr>
          <w:p w14:paraId="44D68776" w14:textId="77777777" w:rsidR="00BC0B4B" w:rsidRPr="0058565B" w:rsidRDefault="00BC0B4B" w:rsidP="00BC0B4B">
            <w:pPr>
              <w:shd w:val="clear" w:color="auto" w:fill="FFFFFF"/>
              <w:spacing w:before="180" w:after="0"/>
              <w:rPr>
                <w:rFonts w:eastAsia="SimSun"/>
                <w:color w:val="000000"/>
                <w:u w:val="single"/>
                <w:lang w:eastAsia="zh-CN"/>
              </w:rPr>
            </w:pPr>
            <w:r w:rsidRPr="0058565B">
              <w:rPr>
                <w:rFonts w:eastAsia="SimSun"/>
                <w:color w:val="000000"/>
                <w:u w:val="single"/>
                <w:lang w:eastAsia="zh-CN"/>
              </w:rPr>
              <w:t>Conclusion:</w:t>
            </w:r>
          </w:p>
          <w:p w14:paraId="75178F35" w14:textId="77777777" w:rsidR="00BC0B4B" w:rsidRPr="0058565B" w:rsidRDefault="00BC0B4B" w:rsidP="00BC0B4B">
            <w:pPr>
              <w:shd w:val="clear" w:color="auto" w:fill="FFFFFF"/>
              <w:spacing w:after="0"/>
              <w:rPr>
                <w:rFonts w:eastAsia="SimSun"/>
                <w:color w:val="000000"/>
                <w:lang w:eastAsia="zh-CN"/>
              </w:rPr>
            </w:pPr>
            <w:r w:rsidRPr="0058565B">
              <w:rPr>
                <w:rFonts w:eastAsia="SimSun"/>
                <w:color w:val="000000"/>
                <w:lang w:eastAsia="zh-CN"/>
              </w:rPr>
              <w:t>Discuss</w:t>
            </w:r>
            <w:r>
              <w:rPr>
                <w:rFonts w:eastAsia="SimSun"/>
                <w:color w:val="000000"/>
                <w:lang w:eastAsia="zh-CN"/>
              </w:rPr>
              <w:t xml:space="preserve"> </w:t>
            </w:r>
            <w:r w:rsidRPr="0058565B">
              <w:rPr>
                <w:rFonts w:eastAsia="SimSun"/>
                <w:color w:val="000000"/>
                <w:lang w:eastAsia="zh-CN"/>
              </w:rPr>
              <w:t>whether or not</w:t>
            </w:r>
            <w:r w:rsidRPr="0058565B">
              <w:rPr>
                <w:rFonts w:eastAsia="SimSun"/>
                <w:color w:val="FF0000"/>
                <w:lang w:eastAsia="zh-CN"/>
              </w:rPr>
              <w:t xml:space="preserve"> </w:t>
            </w:r>
            <w:r w:rsidRPr="0058565B">
              <w:rPr>
                <w:rFonts w:eastAsia="SimSun"/>
                <w:lang w:eastAsia="zh-CN"/>
              </w:rPr>
              <w:t>at least</w:t>
            </w:r>
            <w:r>
              <w:rPr>
                <w:rFonts w:eastAsia="SimSun"/>
                <w:lang w:eastAsia="zh-CN"/>
              </w:rPr>
              <w:t xml:space="preserve"> </w:t>
            </w:r>
            <w:r w:rsidRPr="0058565B">
              <w:rPr>
                <w:rFonts w:eastAsia="SimSun"/>
                <w:color w:val="000000"/>
                <w:lang w:eastAsia="zh-CN"/>
              </w:rPr>
              <w:t>following issues</w:t>
            </w:r>
            <w:r>
              <w:rPr>
                <w:rFonts w:eastAsia="SimSun"/>
                <w:color w:val="000000"/>
                <w:lang w:eastAsia="zh-CN"/>
              </w:rPr>
              <w:t xml:space="preserve"> </w:t>
            </w:r>
            <w:r w:rsidRPr="0058565B">
              <w:rPr>
                <w:rFonts w:eastAsia="SimSun"/>
                <w:color w:val="000000"/>
                <w:lang w:eastAsia="zh-CN"/>
              </w:rPr>
              <w:t>are valid and</w:t>
            </w:r>
            <w:r>
              <w:rPr>
                <w:rFonts w:eastAsia="SimSun"/>
                <w:color w:val="000000"/>
                <w:lang w:eastAsia="zh-CN"/>
              </w:rPr>
              <w:t xml:space="preserve"> </w:t>
            </w:r>
            <w:r w:rsidRPr="0058565B">
              <w:rPr>
                <w:rFonts w:eastAsia="SimSun"/>
                <w:color w:val="000000"/>
                <w:lang w:eastAsia="zh-CN"/>
              </w:rPr>
              <w:t>decide whether or not enhancements are needed in addition to</w:t>
            </w:r>
            <w:r>
              <w:rPr>
                <w:rFonts w:eastAsia="SimSun"/>
                <w:color w:val="000000"/>
                <w:lang w:eastAsia="zh-CN"/>
              </w:rPr>
              <w:t xml:space="preserve"> </w:t>
            </w:r>
            <w:r w:rsidRPr="0058565B">
              <w:rPr>
                <w:rFonts w:eastAsia="SimSun"/>
                <w:color w:val="000000"/>
                <w:lang w:eastAsia="zh-CN"/>
              </w:rPr>
              <w:t>current NR specification</w:t>
            </w:r>
            <w:r>
              <w:rPr>
                <w:rFonts w:eastAsia="SimSun"/>
                <w:color w:val="000000"/>
                <w:lang w:eastAsia="zh-CN"/>
              </w:rPr>
              <w:t xml:space="preserve"> </w:t>
            </w:r>
            <w:r w:rsidRPr="0058565B">
              <w:rPr>
                <w:rFonts w:eastAsia="SimSun"/>
                <w:color w:val="000000"/>
                <w:lang w:eastAsia="zh-CN"/>
              </w:rPr>
              <w:t>for</w:t>
            </w:r>
            <w:r>
              <w:rPr>
                <w:rFonts w:eastAsia="SimSun"/>
                <w:color w:val="000000"/>
                <w:lang w:eastAsia="zh-CN"/>
              </w:rPr>
              <w:t xml:space="preserve"> </w:t>
            </w:r>
            <w:r w:rsidRPr="0058565B">
              <w:rPr>
                <w:rFonts w:eastAsia="SimSun"/>
                <w:color w:val="000000"/>
                <w:lang w:eastAsia="zh-CN"/>
              </w:rPr>
              <w:t>supporting</w:t>
            </w:r>
            <w:r>
              <w:rPr>
                <w:rFonts w:eastAsia="SimSun"/>
                <w:color w:val="000000"/>
                <w:lang w:eastAsia="zh-CN"/>
              </w:rPr>
              <w:t xml:space="preserve"> </w:t>
            </w:r>
            <w:r w:rsidRPr="0058565B">
              <w:rPr>
                <w:rFonts w:eastAsia="SimSun"/>
                <w:color w:val="000000"/>
                <w:lang w:eastAsia="zh-CN"/>
              </w:rPr>
              <w:t>NTN beam management:</w:t>
            </w:r>
          </w:p>
          <w:p w14:paraId="23DDE030" w14:textId="77777777" w:rsidR="00BC0B4B" w:rsidRPr="00162F9E" w:rsidRDefault="00BC0B4B" w:rsidP="00BC0B4B">
            <w:pPr>
              <w:pStyle w:val="afb"/>
              <w:numPr>
                <w:ilvl w:val="0"/>
                <w:numId w:val="18"/>
              </w:numPr>
              <w:shd w:val="clear" w:color="auto" w:fill="FFFFFF"/>
              <w:spacing w:after="0" w:line="240" w:lineRule="auto"/>
              <w:ind w:leftChars="0" w:left="714" w:hanging="357"/>
              <w:contextualSpacing/>
              <w:jc w:val="left"/>
              <w:rPr>
                <w:color w:val="000000"/>
                <w:lang w:eastAsia="zh-CN"/>
              </w:rPr>
            </w:pPr>
            <w:r w:rsidRPr="00162F9E">
              <w:rPr>
                <w:color w:val="000000"/>
                <w:lang w:eastAsia="zh-CN"/>
              </w:rPr>
              <w:t>Issue 1: NR BWP is not directly associated with a beam. Thus, when using TCI to change beam from beam 1 to beam 2, it does not trigger NR BWP switching. However, in NTN FRF&gt;1 case, beam switching may result in a BWP switching.</w:t>
            </w:r>
          </w:p>
          <w:p w14:paraId="11EE55B3" w14:textId="77777777" w:rsidR="00BC0B4B" w:rsidRPr="00162F9E" w:rsidRDefault="00BC0B4B" w:rsidP="00BC0B4B">
            <w:pPr>
              <w:pStyle w:val="afb"/>
              <w:numPr>
                <w:ilvl w:val="0"/>
                <w:numId w:val="18"/>
              </w:numPr>
              <w:shd w:val="clear" w:color="auto" w:fill="FFFFFF"/>
              <w:spacing w:after="0" w:line="240" w:lineRule="auto"/>
              <w:ind w:leftChars="0" w:left="714" w:hanging="357"/>
              <w:contextualSpacing/>
              <w:jc w:val="left"/>
              <w:rPr>
                <w:color w:val="000000"/>
                <w:lang w:eastAsia="zh-CN"/>
              </w:rPr>
            </w:pPr>
            <w:r w:rsidRPr="00162F9E">
              <w:rPr>
                <w:color w:val="000000"/>
                <w:lang w:eastAsia="zh-CN"/>
              </w:rPr>
              <w:t>Issue 2: NR BWP switching in UL and DL are not jointly triggered for FDD. However, in NTN FRF&gt;1 FDD scenario, beam switching may result in a BWP switching in both DL and UL.</w:t>
            </w:r>
          </w:p>
          <w:p w14:paraId="7F5A79B5" w14:textId="77777777" w:rsidR="00BC0B4B" w:rsidRPr="00162F9E" w:rsidRDefault="00BC0B4B" w:rsidP="00BC0B4B">
            <w:pPr>
              <w:pStyle w:val="afb"/>
              <w:numPr>
                <w:ilvl w:val="0"/>
                <w:numId w:val="18"/>
              </w:numPr>
              <w:shd w:val="clear" w:color="auto" w:fill="FFFFFF"/>
              <w:spacing w:after="0" w:line="240" w:lineRule="auto"/>
              <w:ind w:leftChars="0" w:left="714" w:hanging="357"/>
              <w:contextualSpacing/>
              <w:jc w:val="left"/>
              <w:rPr>
                <w:color w:val="000000"/>
                <w:lang w:eastAsia="zh-CN"/>
              </w:rPr>
            </w:pPr>
            <w:r w:rsidRPr="00162F9E">
              <w:rPr>
                <w:color w:val="000000"/>
                <w:lang w:eastAsia="zh-CN"/>
              </w:rPr>
              <w:t>Issue 3: NR dynamic BWP switching requires data scheduling. While in NTN FRF&gt;1 scenario, we may need a fast BWP switching triggering without data scheduling.</w:t>
            </w:r>
          </w:p>
          <w:p w14:paraId="4CFC121C" w14:textId="77777777" w:rsidR="00BC0B4B" w:rsidRPr="00162F9E" w:rsidRDefault="00BC0B4B" w:rsidP="00BC0B4B">
            <w:pPr>
              <w:pStyle w:val="afb"/>
              <w:numPr>
                <w:ilvl w:val="0"/>
                <w:numId w:val="18"/>
              </w:numPr>
              <w:shd w:val="clear" w:color="auto" w:fill="FFFFFF"/>
              <w:spacing w:after="0" w:line="240" w:lineRule="auto"/>
              <w:ind w:leftChars="0" w:left="714" w:hanging="357"/>
              <w:contextualSpacing/>
              <w:jc w:val="left"/>
              <w:rPr>
                <w:color w:val="000000"/>
                <w:lang w:eastAsia="zh-CN"/>
              </w:rPr>
            </w:pPr>
            <w:r w:rsidRPr="00162F9E">
              <w:rPr>
                <w:color w:val="000000"/>
                <w:lang w:eastAsia="zh-CN"/>
              </w:rPr>
              <w:t>Issue 4: NR BWP switching does not require re-synchronization. However, in NTN FRF&gt;1 scenario, when a satellite beam switching is triggered, UE may need to perform re-synchronization in the switched BWP. </w:t>
            </w:r>
          </w:p>
          <w:p w14:paraId="7D4F91A9" w14:textId="77777777" w:rsidR="00BC0B4B" w:rsidRPr="00162F9E" w:rsidRDefault="00BC0B4B" w:rsidP="00BC0B4B">
            <w:pPr>
              <w:pStyle w:val="afb"/>
              <w:numPr>
                <w:ilvl w:val="0"/>
                <w:numId w:val="18"/>
              </w:numPr>
              <w:shd w:val="clear" w:color="auto" w:fill="FFFFFF"/>
              <w:spacing w:after="0" w:line="240" w:lineRule="auto"/>
              <w:ind w:leftChars="0" w:left="714" w:hanging="357"/>
              <w:contextualSpacing/>
              <w:jc w:val="left"/>
              <w:rPr>
                <w:color w:val="000000"/>
                <w:lang w:eastAsia="zh-CN"/>
              </w:rPr>
            </w:pPr>
            <w:r w:rsidRPr="00162F9E">
              <w:rPr>
                <w:color w:val="000000"/>
                <w:lang w:eastAsia="zh-CN"/>
              </w:rPr>
              <w:t>Issue 5: Since satellite beam switching can be frequent and often highly predictable, mechanisms of configured BWP switching (can be a sequence of BWPs) may be preferred but current NR does not allow it.</w:t>
            </w:r>
          </w:p>
          <w:p w14:paraId="70940A43" w14:textId="77777777" w:rsidR="00BC0B4B" w:rsidRPr="00162F9E" w:rsidRDefault="00BC0B4B" w:rsidP="00BC0B4B">
            <w:pPr>
              <w:pStyle w:val="afb"/>
              <w:numPr>
                <w:ilvl w:val="0"/>
                <w:numId w:val="18"/>
              </w:numPr>
              <w:shd w:val="clear" w:color="auto" w:fill="FFFFFF"/>
              <w:spacing w:after="0" w:line="240" w:lineRule="auto"/>
              <w:ind w:leftChars="0" w:left="714" w:hanging="357"/>
              <w:contextualSpacing/>
              <w:jc w:val="left"/>
              <w:rPr>
                <w:color w:val="000000"/>
                <w:lang w:eastAsia="zh-CN"/>
              </w:rPr>
            </w:pPr>
            <w:r w:rsidRPr="00162F9E">
              <w:rPr>
                <w:color w:val="000000"/>
                <w:lang w:eastAsia="zh-CN"/>
              </w:rPr>
              <w:t>Issue 6: How to deal with BWP switching triggered by </w:t>
            </w:r>
            <w:proofErr w:type="spellStart"/>
            <w:r w:rsidRPr="00162F9E">
              <w:rPr>
                <w:color w:val="000000"/>
                <w:lang w:eastAsia="zh-CN"/>
              </w:rPr>
              <w:t>bwpInactivityTimer</w:t>
            </w:r>
            <w:proofErr w:type="spellEnd"/>
            <w:r w:rsidRPr="00162F9E">
              <w:rPr>
                <w:color w:val="000000"/>
                <w:lang w:eastAsia="zh-CN"/>
              </w:rPr>
              <w:t>, RA procedure, or simply a need to increase throughput instead of for beam-level mobility.</w:t>
            </w:r>
          </w:p>
          <w:p w14:paraId="0DE600C8" w14:textId="7553685E" w:rsidR="00BC0B4B" w:rsidRPr="00BC0B4B" w:rsidRDefault="00BC0B4B" w:rsidP="00BC0B4B">
            <w:pPr>
              <w:pStyle w:val="afb"/>
              <w:numPr>
                <w:ilvl w:val="0"/>
                <w:numId w:val="18"/>
              </w:numPr>
              <w:shd w:val="clear" w:color="auto" w:fill="FFFFFF"/>
              <w:spacing w:line="240" w:lineRule="auto"/>
              <w:ind w:leftChars="0" w:left="714" w:hanging="357"/>
              <w:contextualSpacing/>
              <w:jc w:val="left"/>
              <w:rPr>
                <w:rFonts w:eastAsia="PMingLiU"/>
                <w:lang w:eastAsia="zh-TW"/>
              </w:rPr>
            </w:pPr>
            <w:r w:rsidRPr="00162F9E">
              <w:rPr>
                <w:color w:val="000000"/>
                <w:lang w:eastAsia="zh-CN"/>
              </w:rPr>
              <w:t xml:space="preserve">Issue 7: NR BWP switching/beam switching is done with UE specific </w:t>
            </w:r>
            <w:proofErr w:type="spellStart"/>
            <w:r w:rsidRPr="00162F9E">
              <w:rPr>
                <w:color w:val="000000"/>
                <w:lang w:eastAsia="zh-CN"/>
              </w:rPr>
              <w:t>signalling</w:t>
            </w:r>
            <w:proofErr w:type="spellEnd"/>
            <w:r w:rsidRPr="00162F9E">
              <w:rPr>
                <w:color w:val="000000"/>
                <w:lang w:eastAsia="zh-CN"/>
              </w:rPr>
              <w:t xml:space="preserve"> due to UE </w:t>
            </w:r>
            <w:proofErr w:type="gramStart"/>
            <w:r w:rsidRPr="00162F9E">
              <w:rPr>
                <w:color w:val="000000"/>
                <w:lang w:eastAsia="zh-CN"/>
              </w:rPr>
              <w:t>movement’s</w:t>
            </w:r>
            <w:proofErr w:type="gramEnd"/>
            <w:r w:rsidRPr="00162F9E">
              <w:rPr>
                <w:color w:val="000000"/>
                <w:lang w:eastAsia="zh-CN"/>
              </w:rPr>
              <w:t xml:space="preserve">. However, in NTN scenario, a satellite BWP/beam switching is common for set of UEs, we may need to a common BWP/beam switching mechanism to save the </w:t>
            </w:r>
            <w:proofErr w:type="spellStart"/>
            <w:r w:rsidRPr="00162F9E">
              <w:rPr>
                <w:color w:val="000000"/>
                <w:lang w:eastAsia="zh-CN"/>
              </w:rPr>
              <w:t>signalling</w:t>
            </w:r>
            <w:proofErr w:type="spellEnd"/>
            <w:r w:rsidRPr="00162F9E">
              <w:rPr>
                <w:color w:val="000000"/>
                <w:lang w:eastAsia="zh-CN"/>
              </w:rPr>
              <w:t xml:space="preserve"> overhead.</w:t>
            </w:r>
          </w:p>
        </w:tc>
      </w:tr>
    </w:tbl>
    <w:p w14:paraId="4F6DD72A" w14:textId="70AB150F" w:rsidR="001F6EA7" w:rsidRPr="008E08AE" w:rsidRDefault="001F6EA7" w:rsidP="008E08AE">
      <w:pPr>
        <w:pStyle w:val="maintext"/>
        <w:ind w:firstLine="440"/>
      </w:pPr>
      <w:r w:rsidRPr="008E08AE">
        <w:t xml:space="preserve">With these elements, we discuss </w:t>
      </w:r>
      <w:r w:rsidR="00BC0B4B" w:rsidRPr="008E08AE">
        <w:t xml:space="preserve">NTN beam management </w:t>
      </w:r>
      <w:r w:rsidRPr="008E08AE">
        <w:t>in more detail.</w:t>
      </w: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6791EAE7" w14:textId="76A1AF43" w:rsidR="00830822" w:rsidRDefault="00830822" w:rsidP="00830822">
      <w:pPr>
        <w:spacing w:after="80"/>
        <w:rPr>
          <w:rFonts w:eastAsia="맑은 고딕"/>
          <w:u w:val="single"/>
          <w:lang w:eastAsia="ko-KR"/>
        </w:rPr>
      </w:pPr>
      <w:r w:rsidRPr="00830822">
        <w:rPr>
          <w:rFonts w:eastAsia="맑은 고딕" w:hint="eastAsia"/>
          <w:u w:val="single"/>
          <w:lang w:eastAsia="ko-KR"/>
        </w:rPr>
        <w:t>I</w:t>
      </w:r>
      <w:r w:rsidRPr="00830822">
        <w:rPr>
          <w:rFonts w:eastAsia="맑은 고딕"/>
          <w:u w:val="single"/>
          <w:lang w:eastAsia="ko-KR"/>
        </w:rPr>
        <w:t>ssue 1</w:t>
      </w:r>
      <w:r>
        <w:rPr>
          <w:rFonts w:eastAsia="맑은 고딕"/>
          <w:u w:val="single"/>
          <w:lang w:eastAsia="ko-KR"/>
        </w:rPr>
        <w:t>:</w:t>
      </w:r>
    </w:p>
    <w:p w14:paraId="7AC442A7" w14:textId="77777777" w:rsidR="00A55FA4" w:rsidRDefault="00A97167" w:rsidP="008E08AE">
      <w:pPr>
        <w:pStyle w:val="maintext"/>
        <w:ind w:firstLine="440"/>
      </w:pPr>
      <w:r w:rsidRPr="00A97167">
        <w:t xml:space="preserve">Figure 1 shows the case of applying </w:t>
      </w:r>
      <w:bookmarkStart w:id="2" w:name="_Hlk71530996"/>
      <w:r w:rsidRPr="00A97167">
        <w:t>BWP per beam within one cell</w:t>
      </w:r>
      <w:bookmarkEnd w:id="2"/>
      <w:r w:rsidRPr="00A97167">
        <w:t xml:space="preserve">. When an existing beam fails due to movement of the </w:t>
      </w:r>
      <w:r>
        <w:t>UE,</w:t>
      </w:r>
      <w:r w:rsidRPr="00A97167">
        <w:t xml:space="preserve"> the </w:t>
      </w:r>
      <w:r>
        <w:t>UE</w:t>
      </w:r>
      <w:r w:rsidRPr="00A97167">
        <w:t xml:space="preserve"> selects a new beam and reports it to the </w:t>
      </w:r>
      <w:proofErr w:type="spellStart"/>
      <w:r>
        <w:t>gNB</w:t>
      </w:r>
      <w:proofErr w:type="spellEnd"/>
      <w:r w:rsidRPr="00A97167">
        <w:t xml:space="preserve">. Thereafter, the </w:t>
      </w:r>
      <w:r>
        <w:t>UE</w:t>
      </w:r>
      <w:r w:rsidRPr="00A97167">
        <w:t xml:space="preserve"> monitors the response of the </w:t>
      </w:r>
      <w:proofErr w:type="spellStart"/>
      <w:r>
        <w:t>gNB</w:t>
      </w:r>
      <w:proofErr w:type="spellEnd"/>
      <w:r w:rsidRPr="00A97167">
        <w:t xml:space="preserve"> to the new beam.</w:t>
      </w:r>
      <w:r>
        <w:t xml:space="preserve"> </w:t>
      </w:r>
    </w:p>
    <w:p w14:paraId="5FFF27B0" w14:textId="77777777" w:rsidR="00B14EDE" w:rsidRDefault="00CA44DE" w:rsidP="00B14EDE">
      <w:pPr>
        <w:pStyle w:val="maintext"/>
        <w:ind w:firstLine="440"/>
      </w:pPr>
      <w:r w:rsidRPr="00CA44DE">
        <w:t xml:space="preserve">For PRACH transmission in slot </w:t>
      </w:r>
      <w:r w:rsidR="00A55FA4">
        <w:t>n</w:t>
      </w:r>
      <w:r w:rsidRPr="00CA44DE">
        <w:t xml:space="preserve"> and according to antenna port quasi co-location parameters associated with periodic CSI-RS resource configuration or with SS/PBCH block associated with index   provided by higher layers, the UE monitors PDCCH in a search space set provided by </w:t>
      </w:r>
      <w:proofErr w:type="spellStart"/>
      <w:r w:rsidRPr="00CA44DE">
        <w:t>recoverySearchSpaceId</w:t>
      </w:r>
      <w:proofErr w:type="spellEnd"/>
      <w:r w:rsidRPr="00CA44DE">
        <w:t xml:space="preserve"> for detection of a DCI format </w:t>
      </w:r>
    </w:p>
    <w:p w14:paraId="3A3B3939" w14:textId="77777777" w:rsidR="00B14EDE" w:rsidRDefault="00B14EDE" w:rsidP="00B14EDE">
      <w:pPr>
        <w:keepNext/>
        <w:jc w:val="center"/>
      </w:pPr>
      <w:r>
        <w:rPr>
          <w:noProof/>
          <w:lang w:eastAsia="ko-KR"/>
        </w:rPr>
        <w:lastRenderedPageBreak/>
        <w:drawing>
          <wp:inline distT="0" distB="0" distL="0" distR="0" wp14:anchorId="19030E23" wp14:editId="25420366">
            <wp:extent cx="1892180" cy="1318895"/>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2084" cy="1325798"/>
                    </a:xfrm>
                    <a:prstGeom prst="rect">
                      <a:avLst/>
                    </a:prstGeom>
                    <a:noFill/>
                  </pic:spPr>
                </pic:pic>
              </a:graphicData>
            </a:graphic>
          </wp:inline>
        </w:drawing>
      </w:r>
    </w:p>
    <w:p w14:paraId="0D0F24CA" w14:textId="77777777" w:rsidR="00B14EDE" w:rsidRDefault="00B14EDE" w:rsidP="00B14EDE">
      <w:pPr>
        <w:pStyle w:val="ad"/>
        <w:jc w:val="center"/>
        <w:rPr>
          <w:b w:val="0"/>
          <w:lang w:eastAsia="ko-KR"/>
        </w:rPr>
      </w:pPr>
      <w:r w:rsidRPr="003F308D">
        <w:rPr>
          <w:b w:val="0"/>
        </w:rPr>
        <w:t xml:space="preserve">Fig </w:t>
      </w:r>
      <w:r w:rsidRPr="003F308D">
        <w:rPr>
          <w:b w:val="0"/>
        </w:rPr>
        <w:fldChar w:fldCharType="begin"/>
      </w:r>
      <w:r w:rsidRPr="003F308D">
        <w:rPr>
          <w:b w:val="0"/>
        </w:rPr>
        <w:instrText xml:space="preserve"> SEQ Figure \* ARABIC </w:instrText>
      </w:r>
      <w:r w:rsidRPr="003F308D">
        <w:rPr>
          <w:b w:val="0"/>
        </w:rPr>
        <w:fldChar w:fldCharType="separate"/>
      </w:r>
      <w:r w:rsidRPr="003F308D">
        <w:rPr>
          <w:b w:val="0"/>
          <w:noProof/>
        </w:rPr>
        <w:t>1</w:t>
      </w:r>
      <w:r w:rsidRPr="003F308D">
        <w:rPr>
          <w:b w:val="0"/>
        </w:rPr>
        <w:fldChar w:fldCharType="end"/>
      </w:r>
      <w:r w:rsidRPr="003F308D">
        <w:rPr>
          <w:b w:val="0"/>
        </w:rPr>
        <w:t xml:space="preserve">. </w:t>
      </w:r>
      <w:r w:rsidRPr="00A97167">
        <w:rPr>
          <w:b w:val="0"/>
        </w:rPr>
        <w:t>BWP per beam within one cell</w:t>
      </w:r>
    </w:p>
    <w:p w14:paraId="6B1FB3A2" w14:textId="77777777" w:rsidR="00B14EDE" w:rsidRDefault="00B14EDE" w:rsidP="00B14EDE">
      <w:pPr>
        <w:pStyle w:val="maintext"/>
        <w:ind w:firstLine="440"/>
        <w:rPr>
          <w:rFonts w:hint="eastAsia"/>
        </w:rPr>
      </w:pPr>
    </w:p>
    <w:p w14:paraId="791EF6ED" w14:textId="5AA2739C" w:rsidR="00506B72" w:rsidRDefault="00CA44DE" w:rsidP="00B14EDE">
      <w:pPr>
        <w:pStyle w:val="maintext"/>
        <w:ind w:firstLineChars="0" w:firstLine="0"/>
      </w:pPr>
      <w:r w:rsidRPr="00CA44DE">
        <w:t xml:space="preserve">with CRC scrambled by C-RNTI or MCS-C-RNTI starting from slot </w:t>
      </w:r>
      <w:r w:rsidR="00A55FA4">
        <w:t>n+4</w:t>
      </w:r>
      <w:r w:rsidRPr="00CA44DE">
        <w:t xml:space="preserve"> within a window configured by </w:t>
      </w:r>
      <w:proofErr w:type="spellStart"/>
      <w:r w:rsidRPr="00CA44DE">
        <w:t>BeamFailureRecoveryConfig</w:t>
      </w:r>
      <w:proofErr w:type="spellEnd"/>
      <w:r w:rsidR="00A55FA4">
        <w:t xml:space="preserve"> [2]</w:t>
      </w:r>
      <w:r w:rsidRPr="00CA44DE">
        <w:t>.</w:t>
      </w:r>
    </w:p>
    <w:p w14:paraId="7CDEE459" w14:textId="5A4E7E1B" w:rsidR="00904AB5" w:rsidRDefault="00904AB5" w:rsidP="008E08AE">
      <w:pPr>
        <w:pStyle w:val="maintext"/>
        <w:ind w:firstLine="440"/>
      </w:pPr>
      <w:proofErr w:type="spellStart"/>
      <w:r w:rsidRPr="00904AB5">
        <w:t>RecoverySearchSpaceId</w:t>
      </w:r>
      <w:proofErr w:type="spellEnd"/>
      <w:r w:rsidRPr="00904AB5">
        <w:t xml:space="preserve"> of </w:t>
      </w:r>
      <w:proofErr w:type="spellStart"/>
      <w:r w:rsidRPr="00904AB5">
        <w:t>BeamFailureRecoveryConfig</w:t>
      </w:r>
      <w:proofErr w:type="spellEnd"/>
      <w:r w:rsidRPr="00904AB5">
        <w:t xml:space="preserve"> field is</w:t>
      </w:r>
      <w:r w:rsidR="00A55FA4">
        <w:t xml:space="preserve"> s</w:t>
      </w:r>
      <w:r w:rsidRPr="00904AB5">
        <w:t xml:space="preserve">earch space to use for BFR RAR. The network configures this search space to be within the linked DL BWP (i.e., within the DL BWP with the same </w:t>
      </w:r>
      <w:r w:rsidR="005A44CD">
        <w:rPr>
          <w:rFonts w:hint="eastAsia"/>
        </w:rPr>
        <w:t>BWP</w:t>
      </w:r>
      <w:r w:rsidR="005A44CD">
        <w:t xml:space="preserve"> </w:t>
      </w:r>
      <w:r w:rsidR="005A44CD">
        <w:rPr>
          <w:rFonts w:hint="eastAsia"/>
        </w:rPr>
        <w:t>i</w:t>
      </w:r>
      <w:r w:rsidRPr="00904AB5">
        <w:t xml:space="preserve">d) of the UL BWP in which the </w:t>
      </w:r>
      <w:proofErr w:type="spellStart"/>
      <w:r w:rsidRPr="00904AB5">
        <w:t>BeamFailureRecoveryConfig</w:t>
      </w:r>
      <w:proofErr w:type="spellEnd"/>
      <w:r w:rsidRPr="00904AB5">
        <w:t xml:space="preserve"> is provided. The CORESET associated with the recovery search space cannot be associated with another search space. Network always configures the UE with a value for </w:t>
      </w:r>
      <w:r w:rsidRPr="008E08AE">
        <w:t>this field when contention free random access resources for BFR are configured</w:t>
      </w:r>
      <w:r w:rsidR="00A55FA4" w:rsidRPr="008E08AE">
        <w:t xml:space="preserve"> [3]</w:t>
      </w:r>
      <w:r w:rsidRPr="008E08AE">
        <w:t>.</w:t>
      </w:r>
      <w:r w:rsidR="00E37DB6">
        <w:t xml:space="preserve"> </w:t>
      </w:r>
    </w:p>
    <w:p w14:paraId="24B13161" w14:textId="1048B804" w:rsidR="00A55FA4" w:rsidRDefault="00917247" w:rsidP="008E08AE">
      <w:pPr>
        <w:pStyle w:val="maintext"/>
        <w:ind w:firstLine="440"/>
      </w:pPr>
      <w:r w:rsidRPr="00917247">
        <w:t>Accordingly, when the BWP id for measurement and the BWP id of the new beam are the same</w:t>
      </w:r>
      <w:r w:rsidR="00105ABC" w:rsidRPr="00105ABC">
        <w:t xml:space="preserve">, the NR process </w:t>
      </w:r>
      <w:r w:rsidR="00105ABC">
        <w:t>can</w:t>
      </w:r>
      <w:r w:rsidR="00105ABC" w:rsidRPr="00105ABC">
        <w:t xml:space="preserve"> be applied</w:t>
      </w:r>
      <w:r w:rsidR="00105ABC">
        <w:t>.</w:t>
      </w:r>
      <w:r w:rsidRPr="00917247">
        <w:t xml:space="preserve"> </w:t>
      </w:r>
      <w:r w:rsidR="00105ABC" w:rsidRPr="00105ABC">
        <w:t xml:space="preserve">When the BWP id for measurement and the BWP id of the new beam are different, the UE may perform BWP switching by the </w:t>
      </w:r>
      <w:proofErr w:type="spellStart"/>
      <w:r w:rsidR="00105ABC" w:rsidRPr="00105ABC">
        <w:t>gNB</w:t>
      </w:r>
      <w:proofErr w:type="spellEnd"/>
      <w:r w:rsidR="00105ABC" w:rsidRPr="00105ABC">
        <w:t xml:space="preserve"> or the UE may implicitly perform BWP switching</w:t>
      </w:r>
      <w:r w:rsidR="00105ABC">
        <w:t xml:space="preserve">. </w:t>
      </w:r>
      <w:r w:rsidR="002A094F" w:rsidRPr="002A094F">
        <w:t xml:space="preserve">When the UE implicitly performs BWP switching, overhead or processing time for BWP switching can be reduced. In this case, it is necessary to consider when the UE switches BWP and how the </w:t>
      </w:r>
      <w:proofErr w:type="spellStart"/>
      <w:r w:rsidR="002A094F" w:rsidRPr="002A094F">
        <w:t>gNB</w:t>
      </w:r>
      <w:proofErr w:type="spellEnd"/>
      <w:r w:rsidR="002A094F" w:rsidRPr="002A094F">
        <w:t xml:space="preserve"> can know the BWP switching of the UE.</w:t>
      </w:r>
    </w:p>
    <w:p w14:paraId="70E0C087" w14:textId="368DA2EA" w:rsidR="00904AB5" w:rsidRDefault="00904AB5" w:rsidP="00904AB5">
      <w:pPr>
        <w:rPr>
          <w:rFonts w:eastAsia="맑은 고딕"/>
          <w:lang w:eastAsia="ko-KR"/>
        </w:rPr>
      </w:pPr>
    </w:p>
    <w:p w14:paraId="684FABDA" w14:textId="5533D90A" w:rsidR="00072706" w:rsidRPr="00072706" w:rsidRDefault="00072706" w:rsidP="00072706">
      <w:pPr>
        <w:widowControl w:val="0"/>
        <w:wordWrap w:val="0"/>
        <w:autoSpaceDE w:val="0"/>
        <w:autoSpaceDN w:val="0"/>
        <w:adjustRightInd w:val="0"/>
        <w:spacing w:afterLines="50" w:after="120" w:line="240" w:lineRule="auto"/>
        <w:ind w:left="1191" w:hanging="1191"/>
        <w:rPr>
          <w:b/>
          <w:kern w:val="2"/>
          <w:szCs w:val="22"/>
          <w:lang w:eastAsia="ko-KR"/>
        </w:rPr>
      </w:pPr>
      <w:r w:rsidRPr="00072706">
        <w:rPr>
          <w:b/>
          <w:kern w:val="2"/>
          <w:szCs w:val="22"/>
          <w:lang w:eastAsia="ko-KR"/>
        </w:rPr>
        <w:t>Proposal 1:</w:t>
      </w:r>
      <w:r w:rsidRPr="00072706">
        <w:rPr>
          <w:b/>
          <w:kern w:val="2"/>
          <w:szCs w:val="22"/>
          <w:lang w:eastAsia="ko-KR"/>
        </w:rPr>
        <w:tab/>
        <w:t xml:space="preserve">When </w:t>
      </w:r>
      <w:r w:rsidR="002566D3">
        <w:rPr>
          <w:rFonts w:hint="eastAsia"/>
          <w:b/>
          <w:kern w:val="2"/>
          <w:szCs w:val="22"/>
          <w:lang w:eastAsia="ko-KR"/>
        </w:rPr>
        <w:t>NTN</w:t>
      </w:r>
      <w:r w:rsidR="002566D3">
        <w:rPr>
          <w:b/>
          <w:kern w:val="2"/>
          <w:szCs w:val="22"/>
          <w:lang w:eastAsia="ko-KR"/>
        </w:rPr>
        <w:t xml:space="preserve"> </w:t>
      </w:r>
      <w:r w:rsidRPr="00072706">
        <w:rPr>
          <w:b/>
          <w:kern w:val="2"/>
          <w:szCs w:val="22"/>
          <w:lang w:eastAsia="ko-KR"/>
        </w:rPr>
        <w:t xml:space="preserve">FRF&gt;1, implicit BWP switching of the UE may be considered according to the configuration of the BWP for </w:t>
      </w:r>
      <w:r w:rsidR="00E82386">
        <w:rPr>
          <w:rFonts w:hint="eastAsia"/>
          <w:b/>
          <w:kern w:val="2"/>
          <w:szCs w:val="22"/>
          <w:lang w:eastAsia="ko-KR"/>
        </w:rPr>
        <w:t>beam</w:t>
      </w:r>
      <w:r w:rsidR="00E82386">
        <w:rPr>
          <w:b/>
          <w:kern w:val="2"/>
          <w:szCs w:val="22"/>
          <w:lang w:eastAsia="ko-KR"/>
        </w:rPr>
        <w:t xml:space="preserve"> </w:t>
      </w:r>
      <w:r w:rsidRPr="00072706">
        <w:rPr>
          <w:b/>
          <w:kern w:val="2"/>
          <w:szCs w:val="22"/>
          <w:lang w:eastAsia="ko-KR"/>
        </w:rPr>
        <w:t>measurement.</w:t>
      </w:r>
    </w:p>
    <w:p w14:paraId="3A8DAC2F" w14:textId="77777777" w:rsidR="006A4D8C" w:rsidRDefault="006A4D8C" w:rsidP="00686394">
      <w:pPr>
        <w:rPr>
          <w:rFonts w:eastAsia="맑은 고딕"/>
          <w:lang w:eastAsia="ko-KR"/>
        </w:rPr>
      </w:pPr>
    </w:p>
    <w:p w14:paraId="0F398726" w14:textId="53C78FD4" w:rsidR="00715D9F" w:rsidRDefault="00715D9F" w:rsidP="00830822">
      <w:pPr>
        <w:spacing w:after="80"/>
        <w:rPr>
          <w:rFonts w:eastAsia="맑은 고딕"/>
          <w:u w:val="single"/>
          <w:lang w:eastAsia="ko-KR"/>
        </w:rPr>
      </w:pPr>
      <w:r>
        <w:rPr>
          <w:rFonts w:eastAsia="맑은 고딕" w:hint="eastAsia"/>
          <w:u w:val="single"/>
          <w:lang w:eastAsia="ko-KR"/>
        </w:rPr>
        <w:t>I</w:t>
      </w:r>
      <w:r>
        <w:rPr>
          <w:rFonts w:eastAsia="맑은 고딕"/>
          <w:u w:val="single"/>
          <w:lang w:eastAsia="ko-KR"/>
        </w:rPr>
        <w:t>ssue 4:</w:t>
      </w:r>
    </w:p>
    <w:p w14:paraId="58E30D48" w14:textId="0439728B" w:rsidR="00081C45" w:rsidRDefault="00081C45" w:rsidP="00081C45">
      <w:pPr>
        <w:pStyle w:val="maintext"/>
        <w:ind w:firstLine="440"/>
      </w:pPr>
      <w:r w:rsidRPr="00081C45">
        <w:t xml:space="preserve">This issue is related to </w:t>
      </w:r>
      <w:r>
        <w:t xml:space="preserve">the </w:t>
      </w:r>
      <w:r w:rsidRPr="00081C45">
        <w:t>TA update</w:t>
      </w:r>
      <w:r>
        <w:t xml:space="preserve"> procedure</w:t>
      </w:r>
      <w:r w:rsidRPr="00081C45">
        <w:t>.</w:t>
      </w:r>
      <w:r>
        <w:t xml:space="preserve"> In [1], a</w:t>
      </w:r>
      <w:r w:rsidRPr="00081C45">
        <w:t>n NTN UE in RRC_CONNECTED state is required to support UE specific TA calculation based at least on its GNSS-acquired position and the serving satellite ephemeris.</w:t>
      </w:r>
      <w:r>
        <w:t xml:space="preserve"> The operation of closed loop and open loop TA control is FFS. </w:t>
      </w:r>
      <w:r>
        <w:rPr>
          <w:rFonts w:hint="eastAsia"/>
        </w:rPr>
        <w:t>I</w:t>
      </w:r>
      <w:r>
        <w:t xml:space="preserve">n addition, </w:t>
      </w:r>
      <w:r w:rsidR="00F63FF3">
        <w:rPr>
          <w:rFonts w:hint="eastAsia"/>
        </w:rPr>
        <w:t>i</w:t>
      </w:r>
      <w:r w:rsidRPr="00081C45">
        <w:t>t is up to RAN4 to decide whether interruptions or measurement gaps are required for GNSS measurements during NTN operation</w:t>
      </w:r>
      <w:r>
        <w:t>.</w:t>
      </w:r>
    </w:p>
    <w:p w14:paraId="11095207" w14:textId="2CFB360D" w:rsidR="00081C45" w:rsidRDefault="00E863E0" w:rsidP="00081C45">
      <w:pPr>
        <w:pStyle w:val="maintext"/>
        <w:ind w:firstLine="440"/>
      </w:pPr>
      <w:r w:rsidRPr="00E863E0">
        <w:t>Therefore, when FRF&gt;1, re-synchron</w:t>
      </w:r>
      <w:r>
        <w:t>i</w:t>
      </w:r>
      <w:r w:rsidRPr="00E863E0">
        <w:t>zation</w:t>
      </w:r>
      <w:r w:rsidR="002566D3">
        <w:t xml:space="preserve"> </w:t>
      </w:r>
      <w:r w:rsidR="002566D3">
        <w:rPr>
          <w:rFonts w:hint="eastAsia"/>
        </w:rPr>
        <w:t>in</w:t>
      </w:r>
      <w:r w:rsidR="002566D3">
        <w:t xml:space="preserve"> </w:t>
      </w:r>
      <w:r w:rsidR="002566D3">
        <w:rPr>
          <w:rFonts w:hint="eastAsia"/>
        </w:rPr>
        <w:t>the</w:t>
      </w:r>
      <w:r w:rsidR="002566D3">
        <w:t xml:space="preserve"> </w:t>
      </w:r>
      <w:r w:rsidR="002566D3">
        <w:rPr>
          <w:rFonts w:hint="eastAsia"/>
        </w:rPr>
        <w:t>switched</w:t>
      </w:r>
      <w:r w:rsidR="002566D3">
        <w:t xml:space="preserve"> </w:t>
      </w:r>
      <w:r w:rsidR="002566D3">
        <w:rPr>
          <w:rFonts w:hint="eastAsia"/>
        </w:rPr>
        <w:t>BWP</w:t>
      </w:r>
      <w:r w:rsidRPr="00E863E0">
        <w:t xml:space="preserve"> </w:t>
      </w:r>
      <w:r w:rsidR="002566D3">
        <w:rPr>
          <w:rFonts w:hint="eastAsia"/>
        </w:rPr>
        <w:t>may</w:t>
      </w:r>
      <w:r w:rsidR="002566D3">
        <w:t xml:space="preserve"> </w:t>
      </w:r>
      <w:r w:rsidRPr="00E863E0">
        <w:t xml:space="preserve">be revisited after discussion of the TA update procedure and </w:t>
      </w:r>
      <w:r>
        <w:t>GNSS</w:t>
      </w:r>
      <w:r w:rsidRPr="00E863E0">
        <w:t xml:space="preserve"> measurement</w:t>
      </w:r>
      <w:r>
        <w:t>s</w:t>
      </w:r>
      <w:r w:rsidRPr="00E863E0">
        <w:t xml:space="preserve"> in RAN4.</w:t>
      </w:r>
    </w:p>
    <w:p w14:paraId="76CA376B" w14:textId="003DF7B7" w:rsidR="00081C45" w:rsidRDefault="00081C45" w:rsidP="00715D9F">
      <w:pPr>
        <w:rPr>
          <w:rFonts w:eastAsia="맑은 고딕"/>
          <w:lang w:eastAsia="ko-KR"/>
        </w:rPr>
      </w:pPr>
    </w:p>
    <w:p w14:paraId="7906B7AC" w14:textId="40E671E7" w:rsidR="00E863E0" w:rsidRPr="00072706" w:rsidRDefault="00E863E0" w:rsidP="00E863E0">
      <w:pPr>
        <w:widowControl w:val="0"/>
        <w:wordWrap w:val="0"/>
        <w:autoSpaceDE w:val="0"/>
        <w:autoSpaceDN w:val="0"/>
        <w:adjustRightInd w:val="0"/>
        <w:spacing w:afterLines="50" w:after="120" w:line="240" w:lineRule="auto"/>
        <w:ind w:left="1191" w:hanging="1191"/>
        <w:rPr>
          <w:b/>
          <w:kern w:val="2"/>
          <w:szCs w:val="22"/>
          <w:lang w:eastAsia="ko-KR"/>
        </w:rPr>
      </w:pPr>
      <w:r w:rsidRPr="00072706">
        <w:rPr>
          <w:b/>
          <w:kern w:val="2"/>
          <w:szCs w:val="22"/>
          <w:lang w:eastAsia="ko-KR"/>
        </w:rPr>
        <w:t xml:space="preserve">Proposal </w:t>
      </w:r>
      <w:r>
        <w:rPr>
          <w:b/>
          <w:kern w:val="2"/>
          <w:szCs w:val="22"/>
          <w:lang w:eastAsia="ko-KR"/>
        </w:rPr>
        <w:t>2</w:t>
      </w:r>
      <w:r w:rsidRPr="00072706">
        <w:rPr>
          <w:b/>
          <w:kern w:val="2"/>
          <w:szCs w:val="22"/>
          <w:lang w:eastAsia="ko-KR"/>
        </w:rPr>
        <w:t>:</w:t>
      </w:r>
      <w:r w:rsidRPr="00072706">
        <w:rPr>
          <w:b/>
          <w:kern w:val="2"/>
          <w:szCs w:val="22"/>
          <w:lang w:eastAsia="ko-KR"/>
        </w:rPr>
        <w:tab/>
      </w:r>
      <w:r w:rsidRPr="00E863E0">
        <w:rPr>
          <w:b/>
          <w:kern w:val="2"/>
          <w:szCs w:val="22"/>
          <w:lang w:eastAsia="ko-KR"/>
        </w:rPr>
        <w:t xml:space="preserve">When </w:t>
      </w:r>
      <w:r w:rsidR="002566D3">
        <w:rPr>
          <w:rFonts w:hint="eastAsia"/>
          <w:b/>
          <w:kern w:val="2"/>
          <w:szCs w:val="22"/>
          <w:lang w:eastAsia="ko-KR"/>
        </w:rPr>
        <w:t>NTN</w:t>
      </w:r>
      <w:r w:rsidR="002566D3">
        <w:rPr>
          <w:b/>
          <w:kern w:val="2"/>
          <w:szCs w:val="22"/>
          <w:lang w:eastAsia="ko-KR"/>
        </w:rPr>
        <w:t xml:space="preserve"> </w:t>
      </w:r>
      <w:r w:rsidRPr="00E863E0">
        <w:rPr>
          <w:b/>
          <w:kern w:val="2"/>
          <w:szCs w:val="22"/>
          <w:lang w:eastAsia="ko-KR"/>
        </w:rPr>
        <w:t xml:space="preserve">FRF&gt;1, re-synchronization </w:t>
      </w:r>
      <w:r w:rsidR="002566D3">
        <w:rPr>
          <w:rFonts w:hint="eastAsia"/>
          <w:b/>
          <w:kern w:val="2"/>
          <w:szCs w:val="22"/>
          <w:lang w:eastAsia="ko-KR"/>
        </w:rPr>
        <w:t>in</w:t>
      </w:r>
      <w:r w:rsidR="002566D3">
        <w:rPr>
          <w:b/>
          <w:kern w:val="2"/>
          <w:szCs w:val="22"/>
          <w:lang w:eastAsia="ko-KR"/>
        </w:rPr>
        <w:t xml:space="preserve"> </w:t>
      </w:r>
      <w:r w:rsidR="002566D3">
        <w:rPr>
          <w:rFonts w:hint="eastAsia"/>
          <w:b/>
          <w:kern w:val="2"/>
          <w:szCs w:val="22"/>
          <w:lang w:eastAsia="ko-KR"/>
        </w:rPr>
        <w:t>the</w:t>
      </w:r>
      <w:r w:rsidR="002566D3">
        <w:rPr>
          <w:b/>
          <w:kern w:val="2"/>
          <w:szCs w:val="22"/>
          <w:lang w:eastAsia="ko-KR"/>
        </w:rPr>
        <w:t xml:space="preserve"> </w:t>
      </w:r>
      <w:r w:rsidR="002566D3">
        <w:rPr>
          <w:rFonts w:hint="eastAsia"/>
          <w:b/>
          <w:kern w:val="2"/>
          <w:szCs w:val="22"/>
          <w:lang w:eastAsia="ko-KR"/>
        </w:rPr>
        <w:t>switched</w:t>
      </w:r>
      <w:r w:rsidRPr="00E863E0">
        <w:rPr>
          <w:b/>
          <w:kern w:val="2"/>
          <w:szCs w:val="22"/>
          <w:lang w:eastAsia="ko-KR"/>
        </w:rPr>
        <w:t xml:space="preserve"> BWP may be revisited after discussion of the TA update procedure.</w:t>
      </w:r>
    </w:p>
    <w:p w14:paraId="5C220AD9" w14:textId="77777777" w:rsidR="00715D9F" w:rsidRPr="00715D9F" w:rsidRDefault="00715D9F" w:rsidP="00715D9F">
      <w:pPr>
        <w:rPr>
          <w:rFonts w:eastAsia="맑은 고딕"/>
          <w:lang w:eastAsia="ko-KR"/>
        </w:rPr>
      </w:pPr>
    </w:p>
    <w:p w14:paraId="06DB851F" w14:textId="2D026DF6" w:rsidR="00830822" w:rsidRDefault="00830822" w:rsidP="00830822">
      <w:pPr>
        <w:spacing w:after="80"/>
        <w:rPr>
          <w:rFonts w:eastAsia="맑은 고딕"/>
          <w:u w:val="single"/>
          <w:lang w:eastAsia="ko-KR"/>
        </w:rPr>
      </w:pPr>
      <w:r w:rsidRPr="00830822">
        <w:rPr>
          <w:rFonts w:eastAsia="맑은 고딕" w:hint="eastAsia"/>
          <w:u w:val="single"/>
          <w:lang w:eastAsia="ko-KR"/>
        </w:rPr>
        <w:t>I</w:t>
      </w:r>
      <w:r w:rsidRPr="00830822">
        <w:rPr>
          <w:rFonts w:eastAsia="맑은 고딕"/>
          <w:u w:val="single"/>
          <w:lang w:eastAsia="ko-KR"/>
        </w:rPr>
        <w:t xml:space="preserve">ssue </w:t>
      </w:r>
      <w:r>
        <w:rPr>
          <w:rFonts w:eastAsia="맑은 고딕"/>
          <w:u w:val="single"/>
          <w:lang w:eastAsia="ko-KR"/>
        </w:rPr>
        <w:t>7:</w:t>
      </w:r>
    </w:p>
    <w:p w14:paraId="21F9CA88" w14:textId="4A30D79E" w:rsidR="00830822" w:rsidRDefault="00751800" w:rsidP="00017BC5">
      <w:pPr>
        <w:pStyle w:val="maintext"/>
        <w:ind w:firstLine="440"/>
      </w:pPr>
      <w:r w:rsidRPr="00751800">
        <w:t xml:space="preserve">Figure 2 shows the case where the </w:t>
      </w:r>
      <w:r w:rsidR="00723E9E">
        <w:rPr>
          <w:rFonts w:hint="eastAsia"/>
        </w:rPr>
        <w:t>serving</w:t>
      </w:r>
      <w:r w:rsidR="00723E9E">
        <w:t xml:space="preserve"> </w:t>
      </w:r>
      <w:r w:rsidRPr="00751800">
        <w:t xml:space="preserve">satellite for the UE is changed from sat#0 to sat#1 for the fixed beam scenario. </w:t>
      </w:r>
    </w:p>
    <w:p w14:paraId="44867FCB" w14:textId="24015AB5" w:rsidR="00506B72" w:rsidRDefault="004A5D24" w:rsidP="00506B72">
      <w:pPr>
        <w:keepNext/>
        <w:jc w:val="center"/>
      </w:pPr>
      <w:r>
        <w:rPr>
          <w:noProof/>
          <w:lang w:eastAsia="ko-KR"/>
        </w:rPr>
        <w:lastRenderedPageBreak/>
        <w:drawing>
          <wp:inline distT="0" distB="0" distL="0" distR="0" wp14:anchorId="78E14743" wp14:editId="144E8CFB">
            <wp:extent cx="2533650" cy="1232955"/>
            <wp:effectExtent l="0" t="0" r="0" b="571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3035" cy="1242388"/>
                    </a:xfrm>
                    <a:prstGeom prst="rect">
                      <a:avLst/>
                    </a:prstGeom>
                    <a:noFill/>
                  </pic:spPr>
                </pic:pic>
              </a:graphicData>
            </a:graphic>
          </wp:inline>
        </w:drawing>
      </w:r>
    </w:p>
    <w:p w14:paraId="76E15D6B" w14:textId="11AAC187" w:rsidR="00506B72" w:rsidRDefault="00506B72" w:rsidP="00506B72">
      <w:pPr>
        <w:pStyle w:val="ad"/>
        <w:jc w:val="center"/>
        <w:rPr>
          <w:b w:val="0"/>
          <w:lang w:eastAsia="ko-KR"/>
        </w:rPr>
      </w:pPr>
      <w:r w:rsidRPr="003F308D">
        <w:rPr>
          <w:b w:val="0"/>
        </w:rPr>
        <w:t xml:space="preserve">Fig </w:t>
      </w:r>
      <w:r w:rsidRPr="003F308D">
        <w:rPr>
          <w:b w:val="0"/>
        </w:rPr>
        <w:fldChar w:fldCharType="begin"/>
      </w:r>
      <w:r w:rsidRPr="003F308D">
        <w:rPr>
          <w:b w:val="0"/>
        </w:rPr>
        <w:instrText xml:space="preserve"> SEQ Figure \* ARABIC </w:instrText>
      </w:r>
      <w:r w:rsidRPr="003F308D">
        <w:rPr>
          <w:b w:val="0"/>
        </w:rPr>
        <w:fldChar w:fldCharType="separate"/>
      </w:r>
      <w:r>
        <w:rPr>
          <w:b w:val="0"/>
          <w:noProof/>
        </w:rPr>
        <w:t>2</w:t>
      </w:r>
      <w:r w:rsidRPr="003F308D">
        <w:rPr>
          <w:b w:val="0"/>
        </w:rPr>
        <w:fldChar w:fldCharType="end"/>
      </w:r>
      <w:r w:rsidRPr="003F308D">
        <w:rPr>
          <w:b w:val="0"/>
        </w:rPr>
        <w:t xml:space="preserve">. </w:t>
      </w:r>
      <w:r w:rsidR="00751800" w:rsidRPr="00751800">
        <w:rPr>
          <w:b w:val="0"/>
        </w:rPr>
        <w:t xml:space="preserve">Beam </w:t>
      </w:r>
      <w:r w:rsidR="004E4EB8">
        <w:rPr>
          <w:rFonts w:hint="eastAsia"/>
          <w:b w:val="0"/>
          <w:lang w:eastAsia="ko-KR"/>
        </w:rPr>
        <w:t>tracking</w:t>
      </w:r>
      <w:r w:rsidR="0049432A">
        <w:rPr>
          <w:b w:val="0"/>
          <w:lang w:eastAsia="ko-KR"/>
        </w:rPr>
        <w:t xml:space="preserve"> </w:t>
      </w:r>
      <w:r w:rsidR="0049432A">
        <w:rPr>
          <w:rFonts w:hint="eastAsia"/>
          <w:b w:val="0"/>
          <w:lang w:eastAsia="ko-KR"/>
        </w:rPr>
        <w:t>and</w:t>
      </w:r>
      <w:r w:rsidR="0049432A">
        <w:rPr>
          <w:b w:val="0"/>
          <w:lang w:eastAsia="ko-KR"/>
        </w:rPr>
        <w:t xml:space="preserve"> </w:t>
      </w:r>
      <w:r w:rsidR="0049432A">
        <w:rPr>
          <w:rFonts w:hint="eastAsia"/>
          <w:b w:val="0"/>
          <w:lang w:eastAsia="ko-KR"/>
        </w:rPr>
        <w:t>switching</w:t>
      </w:r>
      <w:r w:rsidR="00751800" w:rsidRPr="00751800">
        <w:rPr>
          <w:b w:val="0"/>
        </w:rPr>
        <w:t xml:space="preserve"> according to the movement of the satellite in the </w:t>
      </w:r>
      <w:r w:rsidR="00751800">
        <w:rPr>
          <w:rFonts w:hint="eastAsia"/>
          <w:b w:val="0"/>
          <w:lang w:eastAsia="ko-KR"/>
        </w:rPr>
        <w:t>f</w:t>
      </w:r>
      <w:r w:rsidR="00751800">
        <w:rPr>
          <w:b w:val="0"/>
          <w:lang w:eastAsia="ko-KR"/>
        </w:rPr>
        <w:t>ixed</w:t>
      </w:r>
      <w:r w:rsidR="00751800" w:rsidRPr="00751800">
        <w:rPr>
          <w:b w:val="0"/>
        </w:rPr>
        <w:t xml:space="preserve"> beam scenario</w:t>
      </w:r>
    </w:p>
    <w:p w14:paraId="46B9E1BB" w14:textId="3D2BEF2E" w:rsidR="00D13BA4" w:rsidRPr="0049432A" w:rsidRDefault="00D13BA4" w:rsidP="00686394">
      <w:pPr>
        <w:rPr>
          <w:rFonts w:eastAsia="맑은 고딕"/>
          <w:lang w:eastAsia="ko-KR"/>
        </w:rPr>
      </w:pPr>
    </w:p>
    <w:p w14:paraId="05FEFB41" w14:textId="5D001C79" w:rsidR="00073AD3" w:rsidRDefault="005743BA" w:rsidP="00B14EDE">
      <w:pPr>
        <w:pStyle w:val="maintext"/>
        <w:ind w:firstLineChars="0" w:firstLine="0"/>
      </w:pPr>
      <w:r w:rsidRPr="005743BA">
        <w:t>In this case, the direction of the serving beam may be rapidly changed at a specific moment for all UEs within the coverage.</w:t>
      </w:r>
      <w:r>
        <w:t xml:space="preserve"> </w:t>
      </w:r>
      <w:r w:rsidR="0049432A" w:rsidRPr="0049432A">
        <w:t>This change may be distinguished from the beam tracking procedure for sat#0.</w:t>
      </w:r>
      <w:r w:rsidR="0049432A">
        <w:t xml:space="preserve"> </w:t>
      </w:r>
      <w:r w:rsidR="005C04C8" w:rsidRPr="005C04C8">
        <w:t xml:space="preserve">Switching between beams having a large characteristic difference may affect TA update. </w:t>
      </w:r>
      <w:r w:rsidR="00BE3D8D" w:rsidRPr="00BE3D8D">
        <w:t>In addition, a long processing time for beam measurement or RRC recon</w:t>
      </w:r>
      <w:r w:rsidR="00BE3D8D">
        <w:rPr>
          <w:rFonts w:hint="eastAsia"/>
        </w:rPr>
        <w:t>figura</w:t>
      </w:r>
      <w:r w:rsidR="00BE3D8D" w:rsidRPr="00BE3D8D">
        <w:t>tion may be required.</w:t>
      </w:r>
      <w:r w:rsidR="00F106FD" w:rsidRPr="00F106FD">
        <w:t xml:space="preserve"> </w:t>
      </w:r>
      <w:r w:rsidR="00CC41BF" w:rsidRPr="00CC41BF">
        <w:t>Accordingly, fast beam switching may be possible by distinguishing the TCI according to the time, angle, or information provided for the CHO, rather than tracking the beam for the same TCI.</w:t>
      </w:r>
    </w:p>
    <w:p w14:paraId="28FE8B1A" w14:textId="670B7935" w:rsidR="005C04C8" w:rsidRPr="00BE3D8D" w:rsidRDefault="005C04C8" w:rsidP="00073AD3">
      <w:pPr>
        <w:pStyle w:val="maintext"/>
        <w:ind w:firstLine="440"/>
      </w:pPr>
      <w:bookmarkStart w:id="3" w:name="_GoBack"/>
      <w:bookmarkEnd w:id="3"/>
    </w:p>
    <w:p w14:paraId="76800B11" w14:textId="6551A262" w:rsidR="00B5272F" w:rsidRPr="00072706" w:rsidRDefault="00B5272F" w:rsidP="00CE63F8">
      <w:pPr>
        <w:widowControl w:val="0"/>
        <w:wordWrap w:val="0"/>
        <w:autoSpaceDE w:val="0"/>
        <w:autoSpaceDN w:val="0"/>
        <w:adjustRightInd w:val="0"/>
        <w:spacing w:afterLines="50" w:after="120" w:line="240" w:lineRule="auto"/>
        <w:ind w:left="1134" w:hanging="1134"/>
        <w:rPr>
          <w:b/>
          <w:kern w:val="2"/>
          <w:szCs w:val="22"/>
          <w:lang w:eastAsia="ko-KR"/>
        </w:rPr>
      </w:pPr>
      <w:r w:rsidRPr="00072706">
        <w:rPr>
          <w:b/>
          <w:kern w:val="2"/>
          <w:szCs w:val="22"/>
          <w:lang w:eastAsia="ko-KR"/>
        </w:rPr>
        <w:t xml:space="preserve">Proposal </w:t>
      </w:r>
      <w:r>
        <w:rPr>
          <w:b/>
          <w:kern w:val="2"/>
          <w:szCs w:val="22"/>
          <w:lang w:eastAsia="ko-KR"/>
        </w:rPr>
        <w:t>3</w:t>
      </w:r>
      <w:r w:rsidRPr="00072706">
        <w:rPr>
          <w:b/>
          <w:kern w:val="2"/>
          <w:szCs w:val="22"/>
          <w:lang w:eastAsia="ko-KR"/>
        </w:rPr>
        <w:t>:</w:t>
      </w:r>
      <w:r w:rsidRPr="00072706">
        <w:rPr>
          <w:b/>
          <w:kern w:val="2"/>
          <w:szCs w:val="22"/>
          <w:lang w:eastAsia="ko-KR"/>
        </w:rPr>
        <w:tab/>
      </w:r>
      <w:r w:rsidR="00CE63F8" w:rsidRPr="00CE63F8">
        <w:rPr>
          <w:b/>
          <w:kern w:val="2"/>
          <w:szCs w:val="22"/>
          <w:lang w:eastAsia="ko-KR"/>
        </w:rPr>
        <w:t>In a fixed beam scenario, TCI may be configured according to beam characteristics (time, angle, etc.) to reduce overhead due to beam switching.</w:t>
      </w:r>
    </w:p>
    <w:p w14:paraId="3E35CC6B" w14:textId="77777777" w:rsidR="00B5272F" w:rsidRPr="00B5272F" w:rsidRDefault="00B5272F" w:rsidP="00073AD3">
      <w:pPr>
        <w:pStyle w:val="maintext"/>
        <w:ind w:firstLine="440"/>
        <w:rPr>
          <w:lang w:val="en-US"/>
        </w:rPr>
      </w:pPr>
    </w:p>
    <w:p w14:paraId="5428A40B" w14:textId="77777777" w:rsidR="00657D6D" w:rsidRPr="00AA30A7" w:rsidRDefault="00657D6D" w:rsidP="00657D6D">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362A0A3F" w14:textId="300E72DD" w:rsidR="00657D6D" w:rsidRPr="00891071" w:rsidRDefault="00657D6D" w:rsidP="00657D6D">
      <w:pPr>
        <w:spacing w:after="120"/>
        <w:rPr>
          <w:lang w:eastAsia="ko-KR"/>
        </w:rPr>
      </w:pPr>
      <w:r w:rsidRPr="00891071">
        <w:rPr>
          <w:lang w:eastAsia="ko-KR"/>
        </w:rPr>
        <w:t xml:space="preserve">In this contribution, we present our considerations </w:t>
      </w:r>
      <w:r>
        <w:rPr>
          <w:lang w:eastAsia="ko-KR"/>
        </w:rPr>
        <w:t xml:space="preserve">for </w:t>
      </w:r>
      <w:r w:rsidR="007D35B5">
        <w:rPr>
          <w:lang w:eastAsia="ko-KR"/>
        </w:rPr>
        <w:t>beam management</w:t>
      </w:r>
      <w:r w:rsidR="002F531B">
        <w:rPr>
          <w:lang w:eastAsia="ko-KR"/>
        </w:rPr>
        <w:t xml:space="preserve">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r w:rsidR="007D35B5">
        <w:rPr>
          <w:lang w:eastAsia="ko-KR"/>
        </w:rPr>
        <w:t>s</w:t>
      </w:r>
      <w:r w:rsidRPr="00891071">
        <w:rPr>
          <w:lang w:eastAsia="ko-KR"/>
        </w:rPr>
        <w:t>.</w:t>
      </w:r>
    </w:p>
    <w:p w14:paraId="0479E201" w14:textId="1E69A75A" w:rsidR="00D41BDB" w:rsidRPr="00072706" w:rsidRDefault="00D41BDB" w:rsidP="00D41BDB">
      <w:pPr>
        <w:widowControl w:val="0"/>
        <w:wordWrap w:val="0"/>
        <w:autoSpaceDE w:val="0"/>
        <w:autoSpaceDN w:val="0"/>
        <w:adjustRightInd w:val="0"/>
        <w:spacing w:afterLines="50" w:after="120" w:line="240" w:lineRule="auto"/>
        <w:ind w:left="1191" w:hanging="1191"/>
        <w:rPr>
          <w:b/>
          <w:kern w:val="2"/>
          <w:szCs w:val="22"/>
          <w:lang w:eastAsia="ko-KR"/>
        </w:rPr>
      </w:pPr>
      <w:r w:rsidRPr="00072706">
        <w:rPr>
          <w:b/>
          <w:kern w:val="2"/>
          <w:szCs w:val="22"/>
          <w:lang w:eastAsia="ko-KR"/>
        </w:rPr>
        <w:t>Proposal 1:</w:t>
      </w:r>
      <w:r w:rsidRPr="00072706">
        <w:rPr>
          <w:b/>
          <w:kern w:val="2"/>
          <w:szCs w:val="22"/>
          <w:lang w:eastAsia="ko-KR"/>
        </w:rPr>
        <w:tab/>
        <w:t xml:space="preserve">When FRF&gt;1, implicit BWP switching of the UE may be considered according to the configuration of the BWP for </w:t>
      </w:r>
      <w:r w:rsidR="00E82386">
        <w:rPr>
          <w:rFonts w:hint="eastAsia"/>
          <w:b/>
          <w:kern w:val="2"/>
          <w:szCs w:val="22"/>
          <w:lang w:eastAsia="ko-KR"/>
        </w:rPr>
        <w:t>beam</w:t>
      </w:r>
      <w:r w:rsidR="00E82386">
        <w:rPr>
          <w:b/>
          <w:kern w:val="2"/>
          <w:szCs w:val="22"/>
          <w:lang w:eastAsia="ko-KR"/>
        </w:rPr>
        <w:t xml:space="preserve"> </w:t>
      </w:r>
      <w:r w:rsidRPr="00072706">
        <w:rPr>
          <w:b/>
          <w:kern w:val="2"/>
          <w:szCs w:val="22"/>
          <w:lang w:eastAsia="ko-KR"/>
        </w:rPr>
        <w:t>measurement.</w:t>
      </w:r>
    </w:p>
    <w:p w14:paraId="7344402A" w14:textId="63AC8AD3" w:rsidR="00D41BDB" w:rsidRPr="00072706" w:rsidRDefault="00D41BDB" w:rsidP="00D41BDB">
      <w:pPr>
        <w:widowControl w:val="0"/>
        <w:wordWrap w:val="0"/>
        <w:autoSpaceDE w:val="0"/>
        <w:autoSpaceDN w:val="0"/>
        <w:adjustRightInd w:val="0"/>
        <w:spacing w:afterLines="50" w:after="120" w:line="240" w:lineRule="auto"/>
        <w:ind w:left="1191" w:hanging="1191"/>
        <w:rPr>
          <w:b/>
          <w:kern w:val="2"/>
          <w:szCs w:val="22"/>
          <w:lang w:eastAsia="ko-KR"/>
        </w:rPr>
      </w:pPr>
      <w:r w:rsidRPr="00072706">
        <w:rPr>
          <w:b/>
          <w:kern w:val="2"/>
          <w:szCs w:val="22"/>
          <w:lang w:eastAsia="ko-KR"/>
        </w:rPr>
        <w:t xml:space="preserve">Proposal </w:t>
      </w:r>
      <w:r>
        <w:rPr>
          <w:b/>
          <w:kern w:val="2"/>
          <w:szCs w:val="22"/>
          <w:lang w:eastAsia="ko-KR"/>
        </w:rPr>
        <w:t>2</w:t>
      </w:r>
      <w:r w:rsidRPr="00072706">
        <w:rPr>
          <w:b/>
          <w:kern w:val="2"/>
          <w:szCs w:val="22"/>
          <w:lang w:eastAsia="ko-KR"/>
        </w:rPr>
        <w:t>:</w:t>
      </w:r>
      <w:r w:rsidRPr="00072706">
        <w:rPr>
          <w:b/>
          <w:kern w:val="2"/>
          <w:szCs w:val="22"/>
          <w:lang w:eastAsia="ko-KR"/>
        </w:rPr>
        <w:tab/>
      </w:r>
      <w:r w:rsidRPr="00E863E0">
        <w:rPr>
          <w:b/>
          <w:kern w:val="2"/>
          <w:szCs w:val="22"/>
          <w:lang w:eastAsia="ko-KR"/>
        </w:rPr>
        <w:t>When FRF&gt;1, re-synchronization</w:t>
      </w:r>
      <w:r w:rsidR="002566D3">
        <w:rPr>
          <w:b/>
          <w:kern w:val="2"/>
          <w:szCs w:val="22"/>
          <w:lang w:eastAsia="ko-KR"/>
        </w:rPr>
        <w:t xml:space="preserve"> </w:t>
      </w:r>
      <w:r w:rsidR="002566D3">
        <w:rPr>
          <w:rFonts w:hint="eastAsia"/>
          <w:b/>
          <w:kern w:val="2"/>
          <w:szCs w:val="22"/>
          <w:lang w:eastAsia="ko-KR"/>
        </w:rPr>
        <w:t>in</w:t>
      </w:r>
      <w:r w:rsidR="002566D3">
        <w:rPr>
          <w:b/>
          <w:kern w:val="2"/>
          <w:szCs w:val="22"/>
          <w:lang w:eastAsia="ko-KR"/>
        </w:rPr>
        <w:t xml:space="preserve"> </w:t>
      </w:r>
      <w:r w:rsidR="002566D3">
        <w:rPr>
          <w:rFonts w:hint="eastAsia"/>
          <w:b/>
          <w:kern w:val="2"/>
          <w:szCs w:val="22"/>
          <w:lang w:eastAsia="ko-KR"/>
        </w:rPr>
        <w:t>the</w:t>
      </w:r>
      <w:r w:rsidR="002566D3">
        <w:rPr>
          <w:b/>
          <w:kern w:val="2"/>
          <w:szCs w:val="22"/>
          <w:lang w:eastAsia="ko-KR"/>
        </w:rPr>
        <w:t xml:space="preserve"> </w:t>
      </w:r>
      <w:r w:rsidR="002566D3">
        <w:rPr>
          <w:rFonts w:hint="eastAsia"/>
          <w:b/>
          <w:kern w:val="2"/>
          <w:szCs w:val="22"/>
          <w:lang w:eastAsia="ko-KR"/>
        </w:rPr>
        <w:t>switched</w:t>
      </w:r>
      <w:r w:rsidR="002566D3">
        <w:rPr>
          <w:b/>
          <w:kern w:val="2"/>
          <w:szCs w:val="22"/>
          <w:lang w:eastAsia="ko-KR"/>
        </w:rPr>
        <w:t xml:space="preserve"> </w:t>
      </w:r>
      <w:r w:rsidR="002566D3">
        <w:rPr>
          <w:rFonts w:hint="eastAsia"/>
          <w:b/>
          <w:kern w:val="2"/>
          <w:szCs w:val="22"/>
          <w:lang w:eastAsia="ko-KR"/>
        </w:rPr>
        <w:t>BWP</w:t>
      </w:r>
      <w:r w:rsidRPr="00E863E0">
        <w:rPr>
          <w:b/>
          <w:kern w:val="2"/>
          <w:szCs w:val="22"/>
          <w:lang w:eastAsia="ko-KR"/>
        </w:rPr>
        <w:t xml:space="preserve"> may be revisited after discussion of the TA update procedure.</w:t>
      </w:r>
    </w:p>
    <w:p w14:paraId="43F0EF45" w14:textId="77777777" w:rsidR="00CE63F8" w:rsidRPr="00072706" w:rsidRDefault="00CE63F8" w:rsidP="00CE63F8">
      <w:pPr>
        <w:widowControl w:val="0"/>
        <w:wordWrap w:val="0"/>
        <w:autoSpaceDE w:val="0"/>
        <w:autoSpaceDN w:val="0"/>
        <w:adjustRightInd w:val="0"/>
        <w:spacing w:afterLines="50" w:after="120" w:line="240" w:lineRule="auto"/>
        <w:ind w:left="1134" w:hanging="1134"/>
        <w:rPr>
          <w:b/>
          <w:kern w:val="2"/>
          <w:szCs w:val="22"/>
          <w:lang w:eastAsia="ko-KR"/>
        </w:rPr>
      </w:pPr>
      <w:r w:rsidRPr="00072706">
        <w:rPr>
          <w:b/>
          <w:kern w:val="2"/>
          <w:szCs w:val="22"/>
          <w:lang w:eastAsia="ko-KR"/>
        </w:rPr>
        <w:t xml:space="preserve">Proposal </w:t>
      </w:r>
      <w:r>
        <w:rPr>
          <w:b/>
          <w:kern w:val="2"/>
          <w:szCs w:val="22"/>
          <w:lang w:eastAsia="ko-KR"/>
        </w:rPr>
        <w:t>3</w:t>
      </w:r>
      <w:r w:rsidRPr="00072706">
        <w:rPr>
          <w:b/>
          <w:kern w:val="2"/>
          <w:szCs w:val="22"/>
          <w:lang w:eastAsia="ko-KR"/>
        </w:rPr>
        <w:t>:</w:t>
      </w:r>
      <w:r w:rsidRPr="00072706">
        <w:rPr>
          <w:b/>
          <w:kern w:val="2"/>
          <w:szCs w:val="22"/>
          <w:lang w:eastAsia="ko-KR"/>
        </w:rPr>
        <w:tab/>
      </w:r>
      <w:r w:rsidRPr="00CE63F8">
        <w:rPr>
          <w:b/>
          <w:kern w:val="2"/>
          <w:szCs w:val="22"/>
          <w:lang w:eastAsia="ko-KR"/>
        </w:rPr>
        <w:t>In a fixed beam scenario, TCI may be configured according to beam characteristics (time, angle, etc.) to reduce overhead due to beam switching.</w:t>
      </w:r>
    </w:p>
    <w:p w14:paraId="7FB8B4D2" w14:textId="77777777" w:rsidR="00657D6D" w:rsidRPr="00AA30A7" w:rsidRDefault="00657D6D" w:rsidP="00657D6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2B69EE5" w14:textId="392858A2" w:rsidR="00BD7422" w:rsidRDefault="00E17F9B" w:rsidP="00E17F9B">
      <w:pPr>
        <w:numPr>
          <w:ilvl w:val="0"/>
          <w:numId w:val="6"/>
        </w:numPr>
        <w:tabs>
          <w:tab w:val="left" w:pos="810"/>
        </w:tabs>
        <w:spacing w:after="180"/>
        <w:contextualSpacing/>
        <w:rPr>
          <w:lang w:eastAsia="zh-CN"/>
        </w:rPr>
      </w:pPr>
      <w:r w:rsidRPr="00E17F9B">
        <w:rPr>
          <w:lang w:eastAsia="ko-KR"/>
        </w:rPr>
        <w:t>R1-2102281</w:t>
      </w:r>
      <w:r>
        <w:rPr>
          <w:lang w:eastAsia="ko-KR"/>
        </w:rPr>
        <w:t>, “</w:t>
      </w:r>
      <w:r w:rsidRPr="00E17F9B">
        <w:rPr>
          <w:lang w:eastAsia="ko-KR"/>
        </w:rPr>
        <w:t>Report of RAN1#104-e meeting</w:t>
      </w:r>
      <w:r>
        <w:rPr>
          <w:lang w:eastAsia="ko-KR"/>
        </w:rPr>
        <w:t>”</w:t>
      </w:r>
    </w:p>
    <w:p w14:paraId="63FBD1A6" w14:textId="77777777" w:rsidR="00D878F5" w:rsidRDefault="00820740" w:rsidP="000A6602">
      <w:pPr>
        <w:numPr>
          <w:ilvl w:val="0"/>
          <w:numId w:val="6"/>
        </w:numPr>
        <w:tabs>
          <w:tab w:val="left" w:pos="810"/>
        </w:tabs>
        <w:spacing w:after="180"/>
        <w:contextualSpacing/>
        <w:rPr>
          <w:lang w:eastAsia="zh-CN"/>
        </w:rPr>
      </w:pPr>
      <w:r w:rsidRPr="00820740">
        <w:rPr>
          <w:lang w:eastAsia="zh-CN"/>
        </w:rPr>
        <w:t>3GPP TS 38.213 V16.</w:t>
      </w:r>
      <w:r w:rsidR="00381697">
        <w:rPr>
          <w:lang w:eastAsia="zh-CN"/>
        </w:rPr>
        <w:t>5</w:t>
      </w:r>
      <w:r w:rsidRPr="00820740">
        <w:rPr>
          <w:lang w:eastAsia="zh-CN"/>
        </w:rPr>
        <w:t>.0</w:t>
      </w:r>
      <w:r>
        <w:rPr>
          <w:lang w:eastAsia="zh-CN"/>
        </w:rPr>
        <w:t>, “NR; Physical layer procedures for control (Release 16)”</w:t>
      </w:r>
    </w:p>
    <w:p w14:paraId="2B2767D2" w14:textId="77777777" w:rsidR="009B4B82" w:rsidRDefault="009B4B82" w:rsidP="000A6602">
      <w:pPr>
        <w:numPr>
          <w:ilvl w:val="0"/>
          <w:numId w:val="6"/>
        </w:numPr>
        <w:tabs>
          <w:tab w:val="left" w:pos="810"/>
        </w:tabs>
        <w:spacing w:after="180"/>
        <w:contextualSpacing/>
        <w:rPr>
          <w:lang w:eastAsia="zh-CN"/>
        </w:rPr>
      </w:pPr>
      <w:r>
        <w:rPr>
          <w:lang w:eastAsia="zh-CN"/>
        </w:rPr>
        <w:t>3</w:t>
      </w:r>
      <w:r>
        <w:rPr>
          <w:rFonts w:hint="eastAsia"/>
          <w:lang w:eastAsia="ko-KR"/>
        </w:rPr>
        <w:t>G</w:t>
      </w:r>
      <w:r>
        <w:rPr>
          <w:lang w:eastAsia="ko-KR"/>
        </w:rPr>
        <w:t>PP TS 38.331 V16.4.1, “</w:t>
      </w:r>
      <w:r w:rsidRPr="009B4B82">
        <w:rPr>
          <w:lang w:eastAsia="ko-KR"/>
        </w:rPr>
        <w:t>NR; Radio Resource Control (RRC) protocol specification (Release 16)</w:t>
      </w:r>
      <w:r>
        <w:rPr>
          <w:lang w:eastAsia="ko-KR"/>
        </w:rPr>
        <w:t>”</w:t>
      </w:r>
    </w:p>
    <w:sectPr w:rsidR="009B4B82" w:rsidSect="00345456">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67844" w14:textId="77777777" w:rsidR="00710EBF" w:rsidRDefault="00710EBF">
      <w:r>
        <w:separator/>
      </w:r>
    </w:p>
  </w:endnote>
  <w:endnote w:type="continuationSeparator" w:id="0">
    <w:p w14:paraId="16777D03" w14:textId="77777777" w:rsidR="00710EBF" w:rsidRDefault="0071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4B327E95"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FE25E5">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FE25E5">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096BA" w14:textId="77777777" w:rsidR="00710EBF" w:rsidRDefault="00710EBF">
      <w:r>
        <w:separator/>
      </w:r>
    </w:p>
  </w:footnote>
  <w:footnote w:type="continuationSeparator" w:id="0">
    <w:p w14:paraId="369EDEDC" w14:textId="77777777" w:rsidR="00710EBF" w:rsidRDefault="00710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7"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17"/>
  </w:num>
  <w:num w:numId="5">
    <w:abstractNumId w:val="1"/>
  </w:num>
  <w:num w:numId="6">
    <w:abstractNumId w:val="11"/>
  </w:num>
  <w:num w:numId="7">
    <w:abstractNumId w:val="10"/>
  </w:num>
  <w:num w:numId="8">
    <w:abstractNumId w:val="15"/>
  </w:num>
  <w:num w:numId="9">
    <w:abstractNumId w:val="6"/>
  </w:num>
  <w:num w:numId="10">
    <w:abstractNumId w:val="7"/>
  </w:num>
  <w:num w:numId="11">
    <w:abstractNumId w:val="14"/>
  </w:num>
  <w:num w:numId="12">
    <w:abstractNumId w:val="3"/>
  </w:num>
  <w:num w:numId="13">
    <w:abstractNumId w:val="4"/>
  </w:num>
  <w:num w:numId="14">
    <w:abstractNumId w:val="16"/>
  </w:num>
  <w:num w:numId="15">
    <w:abstractNumId w:val="2"/>
  </w:num>
  <w:num w:numId="16">
    <w:abstractNumId w:val="9"/>
  </w:num>
  <w:num w:numId="17">
    <w:abstractNumId w:val="13"/>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CA" w:vendorID="64" w:dllVersion="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19"/>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C5"/>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028"/>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0D3"/>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1AE"/>
    <w:rsid w:val="00057481"/>
    <w:rsid w:val="000578B8"/>
    <w:rsid w:val="00057C70"/>
    <w:rsid w:val="00057F42"/>
    <w:rsid w:val="00057FC8"/>
    <w:rsid w:val="0006006F"/>
    <w:rsid w:val="000602AB"/>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706"/>
    <w:rsid w:val="00072998"/>
    <w:rsid w:val="00072BE8"/>
    <w:rsid w:val="00072D50"/>
    <w:rsid w:val="00072F00"/>
    <w:rsid w:val="000733C3"/>
    <w:rsid w:val="00073891"/>
    <w:rsid w:val="0007389C"/>
    <w:rsid w:val="00073AD3"/>
    <w:rsid w:val="00073C77"/>
    <w:rsid w:val="00073F14"/>
    <w:rsid w:val="0007585B"/>
    <w:rsid w:val="00075C87"/>
    <w:rsid w:val="00075D61"/>
    <w:rsid w:val="00075DEF"/>
    <w:rsid w:val="000761E9"/>
    <w:rsid w:val="0007654D"/>
    <w:rsid w:val="000767C5"/>
    <w:rsid w:val="00076B5B"/>
    <w:rsid w:val="00076BD7"/>
    <w:rsid w:val="00077E19"/>
    <w:rsid w:val="00077F1F"/>
    <w:rsid w:val="00077FFC"/>
    <w:rsid w:val="0008041B"/>
    <w:rsid w:val="000808B3"/>
    <w:rsid w:val="00080CCE"/>
    <w:rsid w:val="00080D64"/>
    <w:rsid w:val="00080EF1"/>
    <w:rsid w:val="000810D5"/>
    <w:rsid w:val="00081532"/>
    <w:rsid w:val="00081697"/>
    <w:rsid w:val="00081C3F"/>
    <w:rsid w:val="00081C45"/>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736"/>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3FD"/>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1CF5"/>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C19"/>
    <w:rsid w:val="000B5D9E"/>
    <w:rsid w:val="000B6110"/>
    <w:rsid w:val="000B6737"/>
    <w:rsid w:val="000B6BBD"/>
    <w:rsid w:val="000B7202"/>
    <w:rsid w:val="000B76F3"/>
    <w:rsid w:val="000C0010"/>
    <w:rsid w:val="000C057F"/>
    <w:rsid w:val="000C074D"/>
    <w:rsid w:val="000C0997"/>
    <w:rsid w:val="000C0B19"/>
    <w:rsid w:val="000C0F4D"/>
    <w:rsid w:val="000C1349"/>
    <w:rsid w:val="000C2058"/>
    <w:rsid w:val="000C21A2"/>
    <w:rsid w:val="000C259D"/>
    <w:rsid w:val="000C2B5C"/>
    <w:rsid w:val="000C2E07"/>
    <w:rsid w:val="000C3236"/>
    <w:rsid w:val="000C329A"/>
    <w:rsid w:val="000C333B"/>
    <w:rsid w:val="000C3352"/>
    <w:rsid w:val="000C3DD2"/>
    <w:rsid w:val="000C3DF3"/>
    <w:rsid w:val="000C43A5"/>
    <w:rsid w:val="000C43CF"/>
    <w:rsid w:val="000C4455"/>
    <w:rsid w:val="000C49BD"/>
    <w:rsid w:val="000C4C4F"/>
    <w:rsid w:val="000C54DC"/>
    <w:rsid w:val="000C58B9"/>
    <w:rsid w:val="000C5968"/>
    <w:rsid w:val="000C5CDF"/>
    <w:rsid w:val="000C602D"/>
    <w:rsid w:val="000C61F6"/>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EB9"/>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6578"/>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5C"/>
    <w:rsid w:val="000F6682"/>
    <w:rsid w:val="000F71A4"/>
    <w:rsid w:val="000F73BC"/>
    <w:rsid w:val="000F785E"/>
    <w:rsid w:val="000F7A61"/>
    <w:rsid w:val="0010015A"/>
    <w:rsid w:val="00100198"/>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AC6"/>
    <w:rsid w:val="00103BE0"/>
    <w:rsid w:val="00104416"/>
    <w:rsid w:val="001047C1"/>
    <w:rsid w:val="001048FC"/>
    <w:rsid w:val="0010524E"/>
    <w:rsid w:val="00105ABC"/>
    <w:rsid w:val="00105E3E"/>
    <w:rsid w:val="00106746"/>
    <w:rsid w:val="001067AF"/>
    <w:rsid w:val="00106A25"/>
    <w:rsid w:val="0010732C"/>
    <w:rsid w:val="00107357"/>
    <w:rsid w:val="00107934"/>
    <w:rsid w:val="0011024A"/>
    <w:rsid w:val="001102F2"/>
    <w:rsid w:val="00110808"/>
    <w:rsid w:val="00110CB5"/>
    <w:rsid w:val="00110FDB"/>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C70"/>
    <w:rsid w:val="00143DBE"/>
    <w:rsid w:val="00144294"/>
    <w:rsid w:val="00144432"/>
    <w:rsid w:val="0014491B"/>
    <w:rsid w:val="00144EE2"/>
    <w:rsid w:val="00145046"/>
    <w:rsid w:val="001450AD"/>
    <w:rsid w:val="001463A1"/>
    <w:rsid w:val="00146823"/>
    <w:rsid w:val="00146C97"/>
    <w:rsid w:val="00146EF9"/>
    <w:rsid w:val="00146F5C"/>
    <w:rsid w:val="00147200"/>
    <w:rsid w:val="001472CF"/>
    <w:rsid w:val="001474B6"/>
    <w:rsid w:val="001474F3"/>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A1C"/>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09E"/>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0DCD"/>
    <w:rsid w:val="001816C2"/>
    <w:rsid w:val="001817E4"/>
    <w:rsid w:val="001817F8"/>
    <w:rsid w:val="00181AD8"/>
    <w:rsid w:val="00181F80"/>
    <w:rsid w:val="00182096"/>
    <w:rsid w:val="001823CF"/>
    <w:rsid w:val="001826A3"/>
    <w:rsid w:val="0018281E"/>
    <w:rsid w:val="0018284C"/>
    <w:rsid w:val="001829B9"/>
    <w:rsid w:val="00182B8A"/>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D01"/>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1FD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5B3"/>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D77"/>
    <w:rsid w:val="001F1F04"/>
    <w:rsid w:val="001F23E9"/>
    <w:rsid w:val="001F29D1"/>
    <w:rsid w:val="001F2B7A"/>
    <w:rsid w:val="001F2D7A"/>
    <w:rsid w:val="001F316B"/>
    <w:rsid w:val="001F32D8"/>
    <w:rsid w:val="001F330C"/>
    <w:rsid w:val="001F35B3"/>
    <w:rsid w:val="001F3A8D"/>
    <w:rsid w:val="001F3C1C"/>
    <w:rsid w:val="001F442F"/>
    <w:rsid w:val="001F4533"/>
    <w:rsid w:val="001F483A"/>
    <w:rsid w:val="001F4D32"/>
    <w:rsid w:val="001F4E56"/>
    <w:rsid w:val="001F4FF5"/>
    <w:rsid w:val="001F55BE"/>
    <w:rsid w:val="001F59AC"/>
    <w:rsid w:val="001F63FD"/>
    <w:rsid w:val="001F64A5"/>
    <w:rsid w:val="001F67E2"/>
    <w:rsid w:val="001F687E"/>
    <w:rsid w:val="001F694E"/>
    <w:rsid w:val="001F6A3C"/>
    <w:rsid w:val="001F6CB3"/>
    <w:rsid w:val="001F6E3A"/>
    <w:rsid w:val="001F6EA7"/>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03A"/>
    <w:rsid w:val="00203195"/>
    <w:rsid w:val="0020377B"/>
    <w:rsid w:val="002037B0"/>
    <w:rsid w:val="00203979"/>
    <w:rsid w:val="00203AFB"/>
    <w:rsid w:val="00203C04"/>
    <w:rsid w:val="00203C13"/>
    <w:rsid w:val="00203C2A"/>
    <w:rsid w:val="00203C35"/>
    <w:rsid w:val="00203D02"/>
    <w:rsid w:val="00203DDF"/>
    <w:rsid w:val="002041ED"/>
    <w:rsid w:val="0020426E"/>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2A6"/>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3A"/>
    <w:rsid w:val="002422AB"/>
    <w:rsid w:val="00242666"/>
    <w:rsid w:val="00242873"/>
    <w:rsid w:val="00242B8D"/>
    <w:rsid w:val="00242BD8"/>
    <w:rsid w:val="00242C3B"/>
    <w:rsid w:val="00242F6B"/>
    <w:rsid w:val="002430A0"/>
    <w:rsid w:val="002430A8"/>
    <w:rsid w:val="0024327B"/>
    <w:rsid w:val="002435B9"/>
    <w:rsid w:val="00243875"/>
    <w:rsid w:val="00243A41"/>
    <w:rsid w:val="00243FB3"/>
    <w:rsid w:val="00244040"/>
    <w:rsid w:val="00244435"/>
    <w:rsid w:val="002461A3"/>
    <w:rsid w:val="00246630"/>
    <w:rsid w:val="00246905"/>
    <w:rsid w:val="00246BC3"/>
    <w:rsid w:val="00246CA9"/>
    <w:rsid w:val="00246E30"/>
    <w:rsid w:val="00246E7C"/>
    <w:rsid w:val="002471AA"/>
    <w:rsid w:val="00247478"/>
    <w:rsid w:val="002476AE"/>
    <w:rsid w:val="00247BE8"/>
    <w:rsid w:val="00250DF9"/>
    <w:rsid w:val="0025101E"/>
    <w:rsid w:val="00251851"/>
    <w:rsid w:val="00251940"/>
    <w:rsid w:val="002519D2"/>
    <w:rsid w:val="00251FEE"/>
    <w:rsid w:val="002524E9"/>
    <w:rsid w:val="00252CB0"/>
    <w:rsid w:val="00252E16"/>
    <w:rsid w:val="0025307B"/>
    <w:rsid w:val="002536B4"/>
    <w:rsid w:val="00253C43"/>
    <w:rsid w:val="00254973"/>
    <w:rsid w:val="00254A01"/>
    <w:rsid w:val="00254ABE"/>
    <w:rsid w:val="00254B50"/>
    <w:rsid w:val="00254B9D"/>
    <w:rsid w:val="00254F4E"/>
    <w:rsid w:val="002554AD"/>
    <w:rsid w:val="00255C44"/>
    <w:rsid w:val="00256104"/>
    <w:rsid w:val="002566A6"/>
    <w:rsid w:val="002566D3"/>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2B"/>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94F"/>
    <w:rsid w:val="002A0F03"/>
    <w:rsid w:val="002A118F"/>
    <w:rsid w:val="002A1817"/>
    <w:rsid w:val="002A1BD6"/>
    <w:rsid w:val="002A1C9F"/>
    <w:rsid w:val="002A215F"/>
    <w:rsid w:val="002A25B1"/>
    <w:rsid w:val="002A27EE"/>
    <w:rsid w:val="002A2845"/>
    <w:rsid w:val="002A2BF9"/>
    <w:rsid w:val="002A2F34"/>
    <w:rsid w:val="002A309B"/>
    <w:rsid w:val="002A325B"/>
    <w:rsid w:val="002A33EA"/>
    <w:rsid w:val="002A3E99"/>
    <w:rsid w:val="002A3F46"/>
    <w:rsid w:val="002A3F6C"/>
    <w:rsid w:val="002A40B5"/>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13"/>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A22"/>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24A"/>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31B"/>
    <w:rsid w:val="002F5565"/>
    <w:rsid w:val="002F591D"/>
    <w:rsid w:val="002F699B"/>
    <w:rsid w:val="002F6B38"/>
    <w:rsid w:val="002F6C44"/>
    <w:rsid w:val="002F7955"/>
    <w:rsid w:val="0030029A"/>
    <w:rsid w:val="003003AD"/>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052D"/>
    <w:rsid w:val="003205B6"/>
    <w:rsid w:val="003212F7"/>
    <w:rsid w:val="0032165A"/>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5C"/>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672"/>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310A"/>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AA"/>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97"/>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354"/>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690"/>
    <w:rsid w:val="003F0885"/>
    <w:rsid w:val="003F0E72"/>
    <w:rsid w:val="003F1B71"/>
    <w:rsid w:val="003F1DB8"/>
    <w:rsid w:val="003F1E22"/>
    <w:rsid w:val="003F1E84"/>
    <w:rsid w:val="003F2495"/>
    <w:rsid w:val="003F265C"/>
    <w:rsid w:val="003F2B0A"/>
    <w:rsid w:val="003F308D"/>
    <w:rsid w:val="003F3930"/>
    <w:rsid w:val="003F39EA"/>
    <w:rsid w:val="003F424A"/>
    <w:rsid w:val="003F4449"/>
    <w:rsid w:val="003F46D2"/>
    <w:rsid w:val="003F4CA0"/>
    <w:rsid w:val="003F4D5C"/>
    <w:rsid w:val="003F57A9"/>
    <w:rsid w:val="003F5D1D"/>
    <w:rsid w:val="003F631D"/>
    <w:rsid w:val="003F67F7"/>
    <w:rsid w:val="003F6CBB"/>
    <w:rsid w:val="003F6EF7"/>
    <w:rsid w:val="003F6F26"/>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2EF2"/>
    <w:rsid w:val="004030CE"/>
    <w:rsid w:val="004033F3"/>
    <w:rsid w:val="00403869"/>
    <w:rsid w:val="00403907"/>
    <w:rsid w:val="00403AEE"/>
    <w:rsid w:val="004041EC"/>
    <w:rsid w:val="00404C2C"/>
    <w:rsid w:val="0040558A"/>
    <w:rsid w:val="00405672"/>
    <w:rsid w:val="00405F1D"/>
    <w:rsid w:val="004062E1"/>
    <w:rsid w:val="00406A74"/>
    <w:rsid w:val="00406C30"/>
    <w:rsid w:val="004070AE"/>
    <w:rsid w:val="00407198"/>
    <w:rsid w:val="00407364"/>
    <w:rsid w:val="004077CF"/>
    <w:rsid w:val="00407FDF"/>
    <w:rsid w:val="00410481"/>
    <w:rsid w:val="004104E3"/>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C88"/>
    <w:rsid w:val="00426DC9"/>
    <w:rsid w:val="0042710E"/>
    <w:rsid w:val="00427656"/>
    <w:rsid w:val="0042799D"/>
    <w:rsid w:val="00427A7A"/>
    <w:rsid w:val="0043089C"/>
    <w:rsid w:val="00430D21"/>
    <w:rsid w:val="00431129"/>
    <w:rsid w:val="0043153F"/>
    <w:rsid w:val="004316B7"/>
    <w:rsid w:val="00431798"/>
    <w:rsid w:val="00431F9B"/>
    <w:rsid w:val="00431FC5"/>
    <w:rsid w:val="00431FFC"/>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3B"/>
    <w:rsid w:val="004363D6"/>
    <w:rsid w:val="00436572"/>
    <w:rsid w:val="004365AB"/>
    <w:rsid w:val="00436631"/>
    <w:rsid w:val="004369DD"/>
    <w:rsid w:val="00436B52"/>
    <w:rsid w:val="00436C5B"/>
    <w:rsid w:val="00437252"/>
    <w:rsid w:val="0043785F"/>
    <w:rsid w:val="00437E90"/>
    <w:rsid w:val="004405CB"/>
    <w:rsid w:val="00440A20"/>
    <w:rsid w:val="00440ADF"/>
    <w:rsid w:val="00440E82"/>
    <w:rsid w:val="00441324"/>
    <w:rsid w:val="00441430"/>
    <w:rsid w:val="004416F6"/>
    <w:rsid w:val="00441778"/>
    <w:rsid w:val="00441E4E"/>
    <w:rsid w:val="00442AAE"/>
    <w:rsid w:val="00442BBD"/>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204"/>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4FC0"/>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6B1B"/>
    <w:rsid w:val="004671AF"/>
    <w:rsid w:val="00467469"/>
    <w:rsid w:val="004677B0"/>
    <w:rsid w:val="00467912"/>
    <w:rsid w:val="00467AB5"/>
    <w:rsid w:val="00470290"/>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2A"/>
    <w:rsid w:val="004943EF"/>
    <w:rsid w:val="0049469F"/>
    <w:rsid w:val="00494C2B"/>
    <w:rsid w:val="00494E3E"/>
    <w:rsid w:val="00495841"/>
    <w:rsid w:val="00495851"/>
    <w:rsid w:val="00495A03"/>
    <w:rsid w:val="004963F2"/>
    <w:rsid w:val="00496626"/>
    <w:rsid w:val="00496B54"/>
    <w:rsid w:val="00496C07"/>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88B"/>
    <w:rsid w:val="004A396A"/>
    <w:rsid w:val="004A40BF"/>
    <w:rsid w:val="004A41F4"/>
    <w:rsid w:val="004A44B4"/>
    <w:rsid w:val="004A4740"/>
    <w:rsid w:val="004A4904"/>
    <w:rsid w:val="004A4BF6"/>
    <w:rsid w:val="004A4FFF"/>
    <w:rsid w:val="004A5073"/>
    <w:rsid w:val="004A52F3"/>
    <w:rsid w:val="004A566E"/>
    <w:rsid w:val="004A577D"/>
    <w:rsid w:val="004A5D24"/>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41"/>
    <w:rsid w:val="004D2BA1"/>
    <w:rsid w:val="004D2C5F"/>
    <w:rsid w:val="004D30DD"/>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4EB8"/>
    <w:rsid w:val="004E528A"/>
    <w:rsid w:val="004E551B"/>
    <w:rsid w:val="004E57C2"/>
    <w:rsid w:val="004E5B0C"/>
    <w:rsid w:val="004E61F7"/>
    <w:rsid w:val="004E63DF"/>
    <w:rsid w:val="004E665E"/>
    <w:rsid w:val="004E6771"/>
    <w:rsid w:val="004E6A7C"/>
    <w:rsid w:val="004E6CB8"/>
    <w:rsid w:val="004E7100"/>
    <w:rsid w:val="004E724C"/>
    <w:rsid w:val="004E7624"/>
    <w:rsid w:val="004E7A8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EFD"/>
    <w:rsid w:val="00500F15"/>
    <w:rsid w:val="0050151C"/>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B72"/>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3FD3"/>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1CE"/>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2E87"/>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7BC"/>
    <w:rsid w:val="00570962"/>
    <w:rsid w:val="00570B47"/>
    <w:rsid w:val="0057157C"/>
    <w:rsid w:val="00571DF6"/>
    <w:rsid w:val="005724F3"/>
    <w:rsid w:val="00572831"/>
    <w:rsid w:val="00572984"/>
    <w:rsid w:val="00572B2A"/>
    <w:rsid w:val="00572BCE"/>
    <w:rsid w:val="00572C9F"/>
    <w:rsid w:val="00572CDF"/>
    <w:rsid w:val="00573130"/>
    <w:rsid w:val="005736B8"/>
    <w:rsid w:val="00573B77"/>
    <w:rsid w:val="00573C1E"/>
    <w:rsid w:val="00573DA3"/>
    <w:rsid w:val="00574306"/>
    <w:rsid w:val="005743BA"/>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4CD"/>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BC5"/>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4C8"/>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6F5"/>
    <w:rsid w:val="005C6883"/>
    <w:rsid w:val="005C6CF0"/>
    <w:rsid w:val="005C6DE3"/>
    <w:rsid w:val="005C6EAE"/>
    <w:rsid w:val="005C70B0"/>
    <w:rsid w:val="005C711E"/>
    <w:rsid w:val="005C7599"/>
    <w:rsid w:val="005C7DEB"/>
    <w:rsid w:val="005C7F70"/>
    <w:rsid w:val="005D0254"/>
    <w:rsid w:val="005D02BD"/>
    <w:rsid w:val="005D0411"/>
    <w:rsid w:val="005D06C6"/>
    <w:rsid w:val="005D0E4C"/>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47F"/>
    <w:rsid w:val="00604FE3"/>
    <w:rsid w:val="006051E8"/>
    <w:rsid w:val="00605760"/>
    <w:rsid w:val="006059C9"/>
    <w:rsid w:val="00605F07"/>
    <w:rsid w:val="006067F8"/>
    <w:rsid w:val="00606983"/>
    <w:rsid w:val="00607067"/>
    <w:rsid w:val="006073F6"/>
    <w:rsid w:val="00607759"/>
    <w:rsid w:val="00607C44"/>
    <w:rsid w:val="00607C81"/>
    <w:rsid w:val="00607F38"/>
    <w:rsid w:val="0061084E"/>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A9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808"/>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1FE"/>
    <w:rsid w:val="00647260"/>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B41"/>
    <w:rsid w:val="00662FCD"/>
    <w:rsid w:val="00663044"/>
    <w:rsid w:val="00663A44"/>
    <w:rsid w:val="00663C0F"/>
    <w:rsid w:val="0066407E"/>
    <w:rsid w:val="006644C6"/>
    <w:rsid w:val="0066495A"/>
    <w:rsid w:val="00664D15"/>
    <w:rsid w:val="00664F08"/>
    <w:rsid w:val="00664F68"/>
    <w:rsid w:val="00665439"/>
    <w:rsid w:val="00665AAA"/>
    <w:rsid w:val="00665ABF"/>
    <w:rsid w:val="006663F5"/>
    <w:rsid w:val="006664B9"/>
    <w:rsid w:val="00666A07"/>
    <w:rsid w:val="00666DF1"/>
    <w:rsid w:val="006671D3"/>
    <w:rsid w:val="00667289"/>
    <w:rsid w:val="00667959"/>
    <w:rsid w:val="00667A64"/>
    <w:rsid w:val="00667B99"/>
    <w:rsid w:val="00667E0A"/>
    <w:rsid w:val="00670F82"/>
    <w:rsid w:val="00671168"/>
    <w:rsid w:val="006720A0"/>
    <w:rsid w:val="006727C6"/>
    <w:rsid w:val="00672A2E"/>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1F7"/>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394"/>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68"/>
    <w:rsid w:val="006A21B0"/>
    <w:rsid w:val="006A27DB"/>
    <w:rsid w:val="006A3162"/>
    <w:rsid w:val="006A3533"/>
    <w:rsid w:val="006A3640"/>
    <w:rsid w:val="006A4338"/>
    <w:rsid w:val="006A480F"/>
    <w:rsid w:val="006A4D8C"/>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1FD"/>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291"/>
    <w:rsid w:val="006D3CD9"/>
    <w:rsid w:val="006D461B"/>
    <w:rsid w:val="006D47D5"/>
    <w:rsid w:val="006D49F5"/>
    <w:rsid w:val="006D529F"/>
    <w:rsid w:val="006D52C0"/>
    <w:rsid w:val="006D530A"/>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3"/>
    <w:rsid w:val="006E60B7"/>
    <w:rsid w:val="006E6188"/>
    <w:rsid w:val="006E6337"/>
    <w:rsid w:val="006E63F3"/>
    <w:rsid w:val="006E6795"/>
    <w:rsid w:val="006E6848"/>
    <w:rsid w:val="006E75B7"/>
    <w:rsid w:val="006E7898"/>
    <w:rsid w:val="006E7A68"/>
    <w:rsid w:val="006E7B75"/>
    <w:rsid w:val="006E7E02"/>
    <w:rsid w:val="006F024D"/>
    <w:rsid w:val="006F0C81"/>
    <w:rsid w:val="006F0DFF"/>
    <w:rsid w:val="006F112E"/>
    <w:rsid w:val="006F11CB"/>
    <w:rsid w:val="006F12A9"/>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EBF"/>
    <w:rsid w:val="00710F23"/>
    <w:rsid w:val="00710FD7"/>
    <w:rsid w:val="00711185"/>
    <w:rsid w:val="007111B8"/>
    <w:rsid w:val="0071154A"/>
    <w:rsid w:val="007122C0"/>
    <w:rsid w:val="0071230B"/>
    <w:rsid w:val="007126B8"/>
    <w:rsid w:val="007127C5"/>
    <w:rsid w:val="00713767"/>
    <w:rsid w:val="00713D00"/>
    <w:rsid w:val="00713DA7"/>
    <w:rsid w:val="00713E3C"/>
    <w:rsid w:val="00713EBC"/>
    <w:rsid w:val="00713FBF"/>
    <w:rsid w:val="007141C3"/>
    <w:rsid w:val="0071479E"/>
    <w:rsid w:val="0071531E"/>
    <w:rsid w:val="007155E3"/>
    <w:rsid w:val="00715AC1"/>
    <w:rsid w:val="00715D9F"/>
    <w:rsid w:val="00716728"/>
    <w:rsid w:val="00716B16"/>
    <w:rsid w:val="00716E35"/>
    <w:rsid w:val="007170A9"/>
    <w:rsid w:val="0071775A"/>
    <w:rsid w:val="00717E63"/>
    <w:rsid w:val="00717ECB"/>
    <w:rsid w:val="00720106"/>
    <w:rsid w:val="007205EA"/>
    <w:rsid w:val="007209A1"/>
    <w:rsid w:val="0072124C"/>
    <w:rsid w:val="007212DE"/>
    <w:rsid w:val="007216D1"/>
    <w:rsid w:val="00721BE3"/>
    <w:rsid w:val="00721CB6"/>
    <w:rsid w:val="00721CFC"/>
    <w:rsid w:val="00721D77"/>
    <w:rsid w:val="0072213C"/>
    <w:rsid w:val="007224D6"/>
    <w:rsid w:val="007228B8"/>
    <w:rsid w:val="007229C9"/>
    <w:rsid w:val="007230B5"/>
    <w:rsid w:val="00723219"/>
    <w:rsid w:val="007235A7"/>
    <w:rsid w:val="0072383B"/>
    <w:rsid w:val="00723E9E"/>
    <w:rsid w:val="00723EA4"/>
    <w:rsid w:val="00723F0C"/>
    <w:rsid w:val="00724232"/>
    <w:rsid w:val="0072467A"/>
    <w:rsid w:val="0072496E"/>
    <w:rsid w:val="00724D3A"/>
    <w:rsid w:val="007255AE"/>
    <w:rsid w:val="0072561F"/>
    <w:rsid w:val="00725639"/>
    <w:rsid w:val="007256F4"/>
    <w:rsid w:val="0072596E"/>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800"/>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74A"/>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0BB1"/>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D67"/>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3926"/>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CCC"/>
    <w:rsid w:val="007C7F82"/>
    <w:rsid w:val="007D03AF"/>
    <w:rsid w:val="007D0920"/>
    <w:rsid w:val="007D0935"/>
    <w:rsid w:val="007D0F7C"/>
    <w:rsid w:val="007D13C1"/>
    <w:rsid w:val="007D1938"/>
    <w:rsid w:val="007D1C8E"/>
    <w:rsid w:val="007D2282"/>
    <w:rsid w:val="007D27EC"/>
    <w:rsid w:val="007D30A3"/>
    <w:rsid w:val="007D35B5"/>
    <w:rsid w:val="007D3DFC"/>
    <w:rsid w:val="007D42DC"/>
    <w:rsid w:val="007D42EF"/>
    <w:rsid w:val="007D43EC"/>
    <w:rsid w:val="007D44F6"/>
    <w:rsid w:val="007D52C9"/>
    <w:rsid w:val="007D53D4"/>
    <w:rsid w:val="007D53E3"/>
    <w:rsid w:val="007D560A"/>
    <w:rsid w:val="007D5801"/>
    <w:rsid w:val="007D5BA5"/>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A5E"/>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A5D"/>
    <w:rsid w:val="00802F7F"/>
    <w:rsid w:val="00802FB5"/>
    <w:rsid w:val="00804023"/>
    <w:rsid w:val="0080457B"/>
    <w:rsid w:val="00804A63"/>
    <w:rsid w:val="00804A74"/>
    <w:rsid w:val="00805398"/>
    <w:rsid w:val="00805661"/>
    <w:rsid w:val="00805700"/>
    <w:rsid w:val="008059BD"/>
    <w:rsid w:val="00806318"/>
    <w:rsid w:val="008065C5"/>
    <w:rsid w:val="0080671D"/>
    <w:rsid w:val="00806F31"/>
    <w:rsid w:val="00807172"/>
    <w:rsid w:val="0080736E"/>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D1E"/>
    <w:rsid w:val="00814FA2"/>
    <w:rsid w:val="0081522D"/>
    <w:rsid w:val="008152DB"/>
    <w:rsid w:val="008152F4"/>
    <w:rsid w:val="00815584"/>
    <w:rsid w:val="008155BB"/>
    <w:rsid w:val="00815C39"/>
    <w:rsid w:val="008163F4"/>
    <w:rsid w:val="008168B3"/>
    <w:rsid w:val="00817910"/>
    <w:rsid w:val="008179B6"/>
    <w:rsid w:val="00817EB9"/>
    <w:rsid w:val="0082005C"/>
    <w:rsid w:val="00820740"/>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6A1"/>
    <w:rsid w:val="00825F29"/>
    <w:rsid w:val="00826163"/>
    <w:rsid w:val="008264DD"/>
    <w:rsid w:val="008266F1"/>
    <w:rsid w:val="008275B3"/>
    <w:rsid w:val="008277AE"/>
    <w:rsid w:val="00827A15"/>
    <w:rsid w:val="00827B4F"/>
    <w:rsid w:val="00830822"/>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58E"/>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73"/>
    <w:rsid w:val="008533E6"/>
    <w:rsid w:val="00853620"/>
    <w:rsid w:val="00853DE4"/>
    <w:rsid w:val="00853E1A"/>
    <w:rsid w:val="008540C9"/>
    <w:rsid w:val="008540DA"/>
    <w:rsid w:val="0085460A"/>
    <w:rsid w:val="00854642"/>
    <w:rsid w:val="00854873"/>
    <w:rsid w:val="00854988"/>
    <w:rsid w:val="00854D92"/>
    <w:rsid w:val="00854DCA"/>
    <w:rsid w:val="00854E8A"/>
    <w:rsid w:val="008550BF"/>
    <w:rsid w:val="008550E1"/>
    <w:rsid w:val="00855329"/>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1A1C"/>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D51"/>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CDB"/>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2C8B"/>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439"/>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10A"/>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3CB2"/>
    <w:rsid w:val="008C43D0"/>
    <w:rsid w:val="008C473E"/>
    <w:rsid w:val="008C4AA1"/>
    <w:rsid w:val="008C4D55"/>
    <w:rsid w:val="008C4F6B"/>
    <w:rsid w:val="008C50CF"/>
    <w:rsid w:val="008C5464"/>
    <w:rsid w:val="008C56E2"/>
    <w:rsid w:val="008C648F"/>
    <w:rsid w:val="008C6720"/>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8AE"/>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21"/>
    <w:rsid w:val="00904071"/>
    <w:rsid w:val="00904132"/>
    <w:rsid w:val="009041B6"/>
    <w:rsid w:val="0090470D"/>
    <w:rsid w:val="00904AB5"/>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587"/>
    <w:rsid w:val="0091464D"/>
    <w:rsid w:val="0091464F"/>
    <w:rsid w:val="00914689"/>
    <w:rsid w:val="009149DC"/>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247"/>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5DF8"/>
    <w:rsid w:val="0094600B"/>
    <w:rsid w:val="00946428"/>
    <w:rsid w:val="009465F2"/>
    <w:rsid w:val="009466FF"/>
    <w:rsid w:val="0094693D"/>
    <w:rsid w:val="009472EF"/>
    <w:rsid w:val="0094749B"/>
    <w:rsid w:val="00947679"/>
    <w:rsid w:val="00947FA1"/>
    <w:rsid w:val="00947FCF"/>
    <w:rsid w:val="0095001B"/>
    <w:rsid w:val="009500A2"/>
    <w:rsid w:val="0095051C"/>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B1C"/>
    <w:rsid w:val="00967C5E"/>
    <w:rsid w:val="00967CAE"/>
    <w:rsid w:val="00967F0E"/>
    <w:rsid w:val="009717AA"/>
    <w:rsid w:val="00971D37"/>
    <w:rsid w:val="00971E33"/>
    <w:rsid w:val="00972248"/>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7B3"/>
    <w:rsid w:val="00982C53"/>
    <w:rsid w:val="00982D92"/>
    <w:rsid w:val="0098303D"/>
    <w:rsid w:val="009839BF"/>
    <w:rsid w:val="009846AF"/>
    <w:rsid w:val="0098487E"/>
    <w:rsid w:val="00984939"/>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42C"/>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B82"/>
    <w:rsid w:val="009B4D2C"/>
    <w:rsid w:val="009B515B"/>
    <w:rsid w:val="009B5237"/>
    <w:rsid w:val="009B56A5"/>
    <w:rsid w:val="009B57FD"/>
    <w:rsid w:val="009B5C91"/>
    <w:rsid w:val="009B5F8A"/>
    <w:rsid w:val="009B6177"/>
    <w:rsid w:val="009B6518"/>
    <w:rsid w:val="009B6680"/>
    <w:rsid w:val="009B6B07"/>
    <w:rsid w:val="009B6E22"/>
    <w:rsid w:val="009B70D3"/>
    <w:rsid w:val="009B7148"/>
    <w:rsid w:val="009B7811"/>
    <w:rsid w:val="009B7951"/>
    <w:rsid w:val="009B7CDF"/>
    <w:rsid w:val="009B7D28"/>
    <w:rsid w:val="009C10FD"/>
    <w:rsid w:val="009C160E"/>
    <w:rsid w:val="009C1B5B"/>
    <w:rsid w:val="009C1CDC"/>
    <w:rsid w:val="009C1DBE"/>
    <w:rsid w:val="009C2775"/>
    <w:rsid w:val="009C2932"/>
    <w:rsid w:val="009C2C2F"/>
    <w:rsid w:val="009C2E3E"/>
    <w:rsid w:val="009C3174"/>
    <w:rsid w:val="009C3923"/>
    <w:rsid w:val="009C3DDB"/>
    <w:rsid w:val="009C3E2A"/>
    <w:rsid w:val="009C415B"/>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1839"/>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45D"/>
    <w:rsid w:val="009E0A7D"/>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7296"/>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433"/>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497"/>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4C47"/>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B04"/>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848"/>
    <w:rsid w:val="00A4796C"/>
    <w:rsid w:val="00A47DD6"/>
    <w:rsid w:val="00A501C9"/>
    <w:rsid w:val="00A50674"/>
    <w:rsid w:val="00A510E7"/>
    <w:rsid w:val="00A515B0"/>
    <w:rsid w:val="00A5161E"/>
    <w:rsid w:val="00A52409"/>
    <w:rsid w:val="00A5245C"/>
    <w:rsid w:val="00A52858"/>
    <w:rsid w:val="00A52EB5"/>
    <w:rsid w:val="00A53579"/>
    <w:rsid w:val="00A53738"/>
    <w:rsid w:val="00A5384B"/>
    <w:rsid w:val="00A53C98"/>
    <w:rsid w:val="00A53D1A"/>
    <w:rsid w:val="00A54103"/>
    <w:rsid w:val="00A5473B"/>
    <w:rsid w:val="00A5475A"/>
    <w:rsid w:val="00A55CC2"/>
    <w:rsid w:val="00A55FA4"/>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CD4"/>
    <w:rsid w:val="00A73D05"/>
    <w:rsid w:val="00A73E5E"/>
    <w:rsid w:val="00A73E7B"/>
    <w:rsid w:val="00A743EF"/>
    <w:rsid w:val="00A744FF"/>
    <w:rsid w:val="00A74719"/>
    <w:rsid w:val="00A7495A"/>
    <w:rsid w:val="00A75655"/>
    <w:rsid w:val="00A75F27"/>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167"/>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103"/>
    <w:rsid w:val="00AB358C"/>
    <w:rsid w:val="00AB366A"/>
    <w:rsid w:val="00AB36B1"/>
    <w:rsid w:val="00AB3A84"/>
    <w:rsid w:val="00AB45BF"/>
    <w:rsid w:val="00AB460E"/>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2E78"/>
    <w:rsid w:val="00B034B9"/>
    <w:rsid w:val="00B0404F"/>
    <w:rsid w:val="00B045E6"/>
    <w:rsid w:val="00B04B59"/>
    <w:rsid w:val="00B04C1E"/>
    <w:rsid w:val="00B04E21"/>
    <w:rsid w:val="00B05A03"/>
    <w:rsid w:val="00B05F9C"/>
    <w:rsid w:val="00B06245"/>
    <w:rsid w:val="00B062E9"/>
    <w:rsid w:val="00B06878"/>
    <w:rsid w:val="00B068B6"/>
    <w:rsid w:val="00B068BB"/>
    <w:rsid w:val="00B06C94"/>
    <w:rsid w:val="00B07312"/>
    <w:rsid w:val="00B07722"/>
    <w:rsid w:val="00B07B2B"/>
    <w:rsid w:val="00B07D28"/>
    <w:rsid w:val="00B10313"/>
    <w:rsid w:val="00B103D8"/>
    <w:rsid w:val="00B10496"/>
    <w:rsid w:val="00B10DC2"/>
    <w:rsid w:val="00B113B5"/>
    <w:rsid w:val="00B11AB0"/>
    <w:rsid w:val="00B11B6C"/>
    <w:rsid w:val="00B11D93"/>
    <w:rsid w:val="00B11F09"/>
    <w:rsid w:val="00B11F37"/>
    <w:rsid w:val="00B12274"/>
    <w:rsid w:val="00B12393"/>
    <w:rsid w:val="00B1290C"/>
    <w:rsid w:val="00B12B65"/>
    <w:rsid w:val="00B12E99"/>
    <w:rsid w:val="00B13624"/>
    <w:rsid w:val="00B13A2B"/>
    <w:rsid w:val="00B13D8F"/>
    <w:rsid w:val="00B143F9"/>
    <w:rsid w:val="00B14596"/>
    <w:rsid w:val="00B14797"/>
    <w:rsid w:val="00B14C55"/>
    <w:rsid w:val="00B14EDE"/>
    <w:rsid w:val="00B1589B"/>
    <w:rsid w:val="00B1598D"/>
    <w:rsid w:val="00B15A67"/>
    <w:rsid w:val="00B15D4D"/>
    <w:rsid w:val="00B16978"/>
    <w:rsid w:val="00B16E86"/>
    <w:rsid w:val="00B17446"/>
    <w:rsid w:val="00B17939"/>
    <w:rsid w:val="00B17EF8"/>
    <w:rsid w:val="00B200CE"/>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5DD"/>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272F"/>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2CC8"/>
    <w:rsid w:val="00B639E2"/>
    <w:rsid w:val="00B63C6A"/>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A7A"/>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3FF"/>
    <w:rsid w:val="00B849B6"/>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3D3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0B4B"/>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99C"/>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667A"/>
    <w:rsid w:val="00BD727E"/>
    <w:rsid w:val="00BD72C0"/>
    <w:rsid w:val="00BD7422"/>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A17"/>
    <w:rsid w:val="00BE3D8D"/>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0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66F"/>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3AE"/>
    <w:rsid w:val="00C21D40"/>
    <w:rsid w:val="00C22117"/>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605"/>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3B1A"/>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23B"/>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534"/>
    <w:rsid w:val="00C775E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428"/>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4B4"/>
    <w:rsid w:val="00CA3698"/>
    <w:rsid w:val="00CA44DE"/>
    <w:rsid w:val="00CA4C47"/>
    <w:rsid w:val="00CA4FC3"/>
    <w:rsid w:val="00CA5900"/>
    <w:rsid w:val="00CA5E2B"/>
    <w:rsid w:val="00CA6140"/>
    <w:rsid w:val="00CA6A66"/>
    <w:rsid w:val="00CA6A9B"/>
    <w:rsid w:val="00CA6B7B"/>
    <w:rsid w:val="00CA6CC7"/>
    <w:rsid w:val="00CA6CFA"/>
    <w:rsid w:val="00CA7D29"/>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9FC"/>
    <w:rsid w:val="00CB4C0A"/>
    <w:rsid w:val="00CB4FA6"/>
    <w:rsid w:val="00CB4FE4"/>
    <w:rsid w:val="00CB5420"/>
    <w:rsid w:val="00CB5783"/>
    <w:rsid w:val="00CB5D3F"/>
    <w:rsid w:val="00CB5DA2"/>
    <w:rsid w:val="00CB68F0"/>
    <w:rsid w:val="00CB6E37"/>
    <w:rsid w:val="00CB70D2"/>
    <w:rsid w:val="00CB7939"/>
    <w:rsid w:val="00CB7AEE"/>
    <w:rsid w:val="00CC08BD"/>
    <w:rsid w:val="00CC0FCF"/>
    <w:rsid w:val="00CC1852"/>
    <w:rsid w:val="00CC193F"/>
    <w:rsid w:val="00CC1B85"/>
    <w:rsid w:val="00CC1D89"/>
    <w:rsid w:val="00CC2134"/>
    <w:rsid w:val="00CC2913"/>
    <w:rsid w:val="00CC2F42"/>
    <w:rsid w:val="00CC3092"/>
    <w:rsid w:val="00CC3BEF"/>
    <w:rsid w:val="00CC41BF"/>
    <w:rsid w:val="00CC4578"/>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5ECC"/>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3F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3BA4"/>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6FF"/>
    <w:rsid w:val="00D30D98"/>
    <w:rsid w:val="00D313CB"/>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BDB"/>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B42"/>
    <w:rsid w:val="00D45CBB"/>
    <w:rsid w:val="00D45D02"/>
    <w:rsid w:val="00D46275"/>
    <w:rsid w:val="00D46307"/>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72D"/>
    <w:rsid w:val="00D63A79"/>
    <w:rsid w:val="00D63AFA"/>
    <w:rsid w:val="00D63B04"/>
    <w:rsid w:val="00D63B49"/>
    <w:rsid w:val="00D63EFC"/>
    <w:rsid w:val="00D63F00"/>
    <w:rsid w:val="00D640C6"/>
    <w:rsid w:val="00D640F4"/>
    <w:rsid w:val="00D6430C"/>
    <w:rsid w:val="00D649EA"/>
    <w:rsid w:val="00D65218"/>
    <w:rsid w:val="00D65491"/>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E17"/>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7EE"/>
    <w:rsid w:val="00D82CEE"/>
    <w:rsid w:val="00D831AD"/>
    <w:rsid w:val="00D83214"/>
    <w:rsid w:val="00D835E5"/>
    <w:rsid w:val="00D83BF5"/>
    <w:rsid w:val="00D83FBD"/>
    <w:rsid w:val="00D8451E"/>
    <w:rsid w:val="00D84B94"/>
    <w:rsid w:val="00D85677"/>
    <w:rsid w:val="00D85C32"/>
    <w:rsid w:val="00D85D44"/>
    <w:rsid w:val="00D860E1"/>
    <w:rsid w:val="00D86390"/>
    <w:rsid w:val="00D86D10"/>
    <w:rsid w:val="00D86E39"/>
    <w:rsid w:val="00D87183"/>
    <w:rsid w:val="00D872EF"/>
    <w:rsid w:val="00D873C2"/>
    <w:rsid w:val="00D874D1"/>
    <w:rsid w:val="00D87880"/>
    <w:rsid w:val="00D878F5"/>
    <w:rsid w:val="00D879E2"/>
    <w:rsid w:val="00D87ADD"/>
    <w:rsid w:val="00D87D89"/>
    <w:rsid w:val="00D90E06"/>
    <w:rsid w:val="00D90E72"/>
    <w:rsid w:val="00D91375"/>
    <w:rsid w:val="00D91670"/>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01C"/>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4CB4"/>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6FD"/>
    <w:rsid w:val="00DD57A3"/>
    <w:rsid w:val="00DD58CE"/>
    <w:rsid w:val="00DD5C15"/>
    <w:rsid w:val="00DD5F9B"/>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77E"/>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6C63"/>
    <w:rsid w:val="00DF75A6"/>
    <w:rsid w:val="00DF768E"/>
    <w:rsid w:val="00DF794B"/>
    <w:rsid w:val="00DF796F"/>
    <w:rsid w:val="00DF7CA7"/>
    <w:rsid w:val="00DF7F7C"/>
    <w:rsid w:val="00DF7FD3"/>
    <w:rsid w:val="00E00B6A"/>
    <w:rsid w:val="00E00BB3"/>
    <w:rsid w:val="00E00FB3"/>
    <w:rsid w:val="00E012DB"/>
    <w:rsid w:val="00E0137F"/>
    <w:rsid w:val="00E01538"/>
    <w:rsid w:val="00E01ACE"/>
    <w:rsid w:val="00E01D0D"/>
    <w:rsid w:val="00E02749"/>
    <w:rsid w:val="00E0294A"/>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9B"/>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37DB6"/>
    <w:rsid w:val="00E40334"/>
    <w:rsid w:val="00E404F7"/>
    <w:rsid w:val="00E40A7B"/>
    <w:rsid w:val="00E40CB1"/>
    <w:rsid w:val="00E40CEC"/>
    <w:rsid w:val="00E40DB8"/>
    <w:rsid w:val="00E41410"/>
    <w:rsid w:val="00E41783"/>
    <w:rsid w:val="00E419E0"/>
    <w:rsid w:val="00E4225E"/>
    <w:rsid w:val="00E4243C"/>
    <w:rsid w:val="00E42B5B"/>
    <w:rsid w:val="00E42BB9"/>
    <w:rsid w:val="00E42FED"/>
    <w:rsid w:val="00E43669"/>
    <w:rsid w:val="00E43980"/>
    <w:rsid w:val="00E4398A"/>
    <w:rsid w:val="00E43D57"/>
    <w:rsid w:val="00E43DB0"/>
    <w:rsid w:val="00E43FC2"/>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0FE"/>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0C3E"/>
    <w:rsid w:val="00E8133F"/>
    <w:rsid w:val="00E81404"/>
    <w:rsid w:val="00E81B26"/>
    <w:rsid w:val="00E82078"/>
    <w:rsid w:val="00E820F6"/>
    <w:rsid w:val="00E8238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63E0"/>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395"/>
    <w:rsid w:val="00EB7576"/>
    <w:rsid w:val="00EB757C"/>
    <w:rsid w:val="00EB7F8E"/>
    <w:rsid w:val="00EC036D"/>
    <w:rsid w:val="00EC03DC"/>
    <w:rsid w:val="00EC03FE"/>
    <w:rsid w:val="00EC052E"/>
    <w:rsid w:val="00EC0FC6"/>
    <w:rsid w:val="00EC110F"/>
    <w:rsid w:val="00EC13C3"/>
    <w:rsid w:val="00EC17BA"/>
    <w:rsid w:val="00EC191E"/>
    <w:rsid w:val="00EC1AFD"/>
    <w:rsid w:val="00EC1C35"/>
    <w:rsid w:val="00EC1DB4"/>
    <w:rsid w:val="00EC2575"/>
    <w:rsid w:val="00EC28D0"/>
    <w:rsid w:val="00EC2BA3"/>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67D"/>
    <w:rsid w:val="00ED0839"/>
    <w:rsid w:val="00ED0863"/>
    <w:rsid w:val="00ED0A5B"/>
    <w:rsid w:val="00ED1042"/>
    <w:rsid w:val="00ED12AE"/>
    <w:rsid w:val="00ED153E"/>
    <w:rsid w:val="00ED17B6"/>
    <w:rsid w:val="00ED1841"/>
    <w:rsid w:val="00ED1CFC"/>
    <w:rsid w:val="00ED1E42"/>
    <w:rsid w:val="00ED1F2B"/>
    <w:rsid w:val="00ED2091"/>
    <w:rsid w:val="00ED20F0"/>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2F0"/>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6FD"/>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CF4"/>
    <w:rsid w:val="00F20D92"/>
    <w:rsid w:val="00F20F01"/>
    <w:rsid w:val="00F213EE"/>
    <w:rsid w:val="00F214F7"/>
    <w:rsid w:val="00F21608"/>
    <w:rsid w:val="00F21DA8"/>
    <w:rsid w:val="00F2210B"/>
    <w:rsid w:val="00F22128"/>
    <w:rsid w:val="00F22827"/>
    <w:rsid w:val="00F232E1"/>
    <w:rsid w:val="00F2358D"/>
    <w:rsid w:val="00F236B4"/>
    <w:rsid w:val="00F23756"/>
    <w:rsid w:val="00F23C03"/>
    <w:rsid w:val="00F24791"/>
    <w:rsid w:val="00F24A33"/>
    <w:rsid w:val="00F24B62"/>
    <w:rsid w:val="00F24DF0"/>
    <w:rsid w:val="00F25558"/>
    <w:rsid w:val="00F25E2C"/>
    <w:rsid w:val="00F25FF9"/>
    <w:rsid w:val="00F26119"/>
    <w:rsid w:val="00F26208"/>
    <w:rsid w:val="00F26A74"/>
    <w:rsid w:val="00F27101"/>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23F"/>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954"/>
    <w:rsid w:val="00F62A2C"/>
    <w:rsid w:val="00F62A57"/>
    <w:rsid w:val="00F62B22"/>
    <w:rsid w:val="00F62C01"/>
    <w:rsid w:val="00F62E96"/>
    <w:rsid w:val="00F63489"/>
    <w:rsid w:val="00F63571"/>
    <w:rsid w:val="00F635E0"/>
    <w:rsid w:val="00F63A0F"/>
    <w:rsid w:val="00F63E0E"/>
    <w:rsid w:val="00F63FC6"/>
    <w:rsid w:val="00F63FF3"/>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96D"/>
    <w:rsid w:val="00F75C44"/>
    <w:rsid w:val="00F75ED5"/>
    <w:rsid w:val="00F763F4"/>
    <w:rsid w:val="00F7651F"/>
    <w:rsid w:val="00F765AC"/>
    <w:rsid w:val="00F76625"/>
    <w:rsid w:val="00F7670D"/>
    <w:rsid w:val="00F7684F"/>
    <w:rsid w:val="00F76E7A"/>
    <w:rsid w:val="00F76E7D"/>
    <w:rsid w:val="00F76FC5"/>
    <w:rsid w:val="00F770D1"/>
    <w:rsid w:val="00F770EA"/>
    <w:rsid w:val="00F771F3"/>
    <w:rsid w:val="00F77246"/>
    <w:rsid w:val="00F774BE"/>
    <w:rsid w:val="00F77674"/>
    <w:rsid w:val="00F77C21"/>
    <w:rsid w:val="00F77CB8"/>
    <w:rsid w:val="00F77DE0"/>
    <w:rsid w:val="00F80043"/>
    <w:rsid w:val="00F80C08"/>
    <w:rsid w:val="00F81240"/>
    <w:rsid w:val="00F81252"/>
    <w:rsid w:val="00F81888"/>
    <w:rsid w:val="00F82959"/>
    <w:rsid w:val="00F82B8E"/>
    <w:rsid w:val="00F82D7B"/>
    <w:rsid w:val="00F82FBC"/>
    <w:rsid w:val="00F8304C"/>
    <w:rsid w:val="00F83877"/>
    <w:rsid w:val="00F83E8C"/>
    <w:rsid w:val="00F8418F"/>
    <w:rsid w:val="00F84512"/>
    <w:rsid w:val="00F845EC"/>
    <w:rsid w:val="00F84C6A"/>
    <w:rsid w:val="00F85203"/>
    <w:rsid w:val="00F85788"/>
    <w:rsid w:val="00F85A2B"/>
    <w:rsid w:val="00F85A53"/>
    <w:rsid w:val="00F85C47"/>
    <w:rsid w:val="00F85ECB"/>
    <w:rsid w:val="00F8656C"/>
    <w:rsid w:val="00F86B01"/>
    <w:rsid w:val="00F86C2E"/>
    <w:rsid w:val="00F86D97"/>
    <w:rsid w:val="00F86E47"/>
    <w:rsid w:val="00F87118"/>
    <w:rsid w:val="00F8718A"/>
    <w:rsid w:val="00F8757D"/>
    <w:rsid w:val="00F87683"/>
    <w:rsid w:val="00F87B66"/>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7C8"/>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0C5"/>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74D"/>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25E5"/>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07"/>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02F"/>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5C19"/>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ì¬º¥¹¥È¶ÎÂä,ÁÐ³ö¶ÎÂä,¥ê¥¹¥È¶ÎÂä,列表段落1"/>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qFormat/>
    <w:rsid w:val="00931B06"/>
    <w:rPr>
      <w:rFonts w:ascii="Arial" w:eastAsia="Times New Roman" w:hAnsi="Arial"/>
      <w:lang w:val="x-none" w:eastAsia="x-none"/>
    </w:rPr>
  </w:style>
  <w:style w:type="character" w:styleId="afc">
    <w:name w:val="Placeholder Text"/>
    <w:basedOn w:val="a2"/>
    <w:uiPriority w:val="99"/>
    <w:semiHidden/>
    <w:rsid w:val="0017509E"/>
    <w:rPr>
      <w:color w:val="808080"/>
    </w:rPr>
  </w:style>
  <w:style w:type="paragraph" w:customStyle="1" w:styleId="maintext">
    <w:name w:val="main text"/>
    <w:basedOn w:val="a1"/>
    <w:link w:val="maintextChar"/>
    <w:qFormat/>
    <w:rsid w:val="008E08AE"/>
    <w:pPr>
      <w:spacing w:before="60" w:after="60"/>
      <w:ind w:firstLineChars="200" w:firstLine="200"/>
    </w:pPr>
    <w:rPr>
      <w:rFonts w:eastAsia="맑은 고딕" w:cs="바탕"/>
      <w:lang w:val="en-GB" w:eastAsia="ko-KR"/>
    </w:rPr>
  </w:style>
  <w:style w:type="character" w:customStyle="1" w:styleId="maintextChar">
    <w:name w:val="main text Char"/>
    <w:link w:val="maintext"/>
    <w:qFormat/>
    <w:rsid w:val="008E08AE"/>
    <w:rPr>
      <w:rFonts w:ascii="Times New Roman" w:eastAsia="맑은 고딕" w:hAnsi="Times New Roman" w:cs="바탕"/>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831115">
      <w:bodyDiv w:val="1"/>
      <w:marLeft w:val="0"/>
      <w:marRight w:val="0"/>
      <w:marTop w:val="0"/>
      <w:marBottom w:val="0"/>
      <w:divBdr>
        <w:top w:val="none" w:sz="0" w:space="0" w:color="auto"/>
        <w:left w:val="none" w:sz="0" w:space="0" w:color="auto"/>
        <w:bottom w:val="none" w:sz="0" w:space="0" w:color="auto"/>
        <w:right w:val="none" w:sz="0" w:space="0" w:color="auto"/>
      </w:divBdr>
      <w:divsChild>
        <w:div w:id="1810628741">
          <w:marLeft w:val="0"/>
          <w:marRight w:val="0"/>
          <w:marTop w:val="0"/>
          <w:marBottom w:val="0"/>
          <w:divBdr>
            <w:top w:val="none" w:sz="0" w:space="0" w:color="auto"/>
            <w:left w:val="none" w:sz="0" w:space="0" w:color="auto"/>
            <w:bottom w:val="none" w:sz="0" w:space="0" w:color="auto"/>
            <w:right w:val="none" w:sz="0" w:space="0" w:color="auto"/>
          </w:divBdr>
          <w:divsChild>
            <w:div w:id="75246044">
              <w:marLeft w:val="0"/>
              <w:marRight w:val="0"/>
              <w:marTop w:val="0"/>
              <w:marBottom w:val="0"/>
              <w:divBdr>
                <w:top w:val="none" w:sz="0" w:space="0" w:color="auto"/>
                <w:left w:val="none" w:sz="0" w:space="0" w:color="auto"/>
                <w:bottom w:val="none" w:sz="0" w:space="0" w:color="auto"/>
                <w:right w:val="none" w:sz="0" w:space="0" w:color="auto"/>
              </w:divBdr>
              <w:divsChild>
                <w:div w:id="320735980">
                  <w:marLeft w:val="0"/>
                  <w:marRight w:val="0"/>
                  <w:marTop w:val="0"/>
                  <w:marBottom w:val="0"/>
                  <w:divBdr>
                    <w:top w:val="none" w:sz="0" w:space="0" w:color="auto"/>
                    <w:left w:val="none" w:sz="0" w:space="0" w:color="auto"/>
                    <w:bottom w:val="none" w:sz="0" w:space="0" w:color="auto"/>
                    <w:right w:val="none" w:sz="0" w:space="0" w:color="auto"/>
                  </w:divBdr>
                  <w:divsChild>
                    <w:div w:id="567963416">
                      <w:marLeft w:val="0"/>
                      <w:marRight w:val="0"/>
                      <w:marTop w:val="0"/>
                      <w:marBottom w:val="0"/>
                      <w:divBdr>
                        <w:top w:val="none" w:sz="0" w:space="0" w:color="auto"/>
                        <w:left w:val="none" w:sz="0" w:space="0" w:color="auto"/>
                        <w:bottom w:val="none" w:sz="0" w:space="0" w:color="auto"/>
                        <w:right w:val="none" w:sz="0" w:space="0" w:color="auto"/>
                      </w:divBdr>
                      <w:divsChild>
                        <w:div w:id="300498889">
                          <w:marLeft w:val="0"/>
                          <w:marRight w:val="0"/>
                          <w:marTop w:val="0"/>
                          <w:marBottom w:val="0"/>
                          <w:divBdr>
                            <w:top w:val="none" w:sz="0" w:space="0" w:color="auto"/>
                            <w:left w:val="none" w:sz="0" w:space="0" w:color="auto"/>
                            <w:bottom w:val="none" w:sz="0" w:space="0" w:color="auto"/>
                            <w:right w:val="none" w:sz="0" w:space="0" w:color="auto"/>
                          </w:divBdr>
                          <w:divsChild>
                            <w:div w:id="310600770">
                              <w:marLeft w:val="0"/>
                              <w:marRight w:val="0"/>
                              <w:marTop w:val="0"/>
                              <w:marBottom w:val="0"/>
                              <w:divBdr>
                                <w:top w:val="none" w:sz="0" w:space="0" w:color="auto"/>
                                <w:left w:val="none" w:sz="0" w:space="0" w:color="auto"/>
                                <w:bottom w:val="none" w:sz="0" w:space="0" w:color="auto"/>
                                <w:right w:val="none" w:sz="0" w:space="0" w:color="auto"/>
                              </w:divBdr>
                            </w:div>
                            <w:div w:id="1637567073">
                              <w:marLeft w:val="0"/>
                              <w:marRight w:val="0"/>
                              <w:marTop w:val="0"/>
                              <w:marBottom w:val="0"/>
                              <w:divBdr>
                                <w:top w:val="none" w:sz="0" w:space="0" w:color="auto"/>
                                <w:left w:val="none" w:sz="0" w:space="0" w:color="auto"/>
                                <w:bottom w:val="none" w:sz="0" w:space="0" w:color="auto"/>
                                <w:right w:val="none" w:sz="0" w:space="0" w:color="auto"/>
                              </w:divBdr>
                            </w:div>
                          </w:divsChild>
                        </w:div>
                        <w:div w:id="1217744255">
                          <w:marLeft w:val="0"/>
                          <w:marRight w:val="0"/>
                          <w:marTop w:val="0"/>
                          <w:marBottom w:val="0"/>
                          <w:divBdr>
                            <w:top w:val="none" w:sz="0" w:space="0" w:color="auto"/>
                            <w:left w:val="none" w:sz="0" w:space="0" w:color="auto"/>
                            <w:bottom w:val="none" w:sz="0" w:space="0" w:color="auto"/>
                            <w:right w:val="none" w:sz="0" w:space="0" w:color="auto"/>
                          </w:divBdr>
                          <w:divsChild>
                            <w:div w:id="1378890090">
                              <w:marLeft w:val="0"/>
                              <w:marRight w:val="300"/>
                              <w:marTop w:val="180"/>
                              <w:marBottom w:val="0"/>
                              <w:divBdr>
                                <w:top w:val="none" w:sz="0" w:space="0" w:color="auto"/>
                                <w:left w:val="none" w:sz="0" w:space="0" w:color="auto"/>
                                <w:bottom w:val="none" w:sz="0" w:space="0" w:color="auto"/>
                                <w:right w:val="none" w:sz="0" w:space="0" w:color="auto"/>
                              </w:divBdr>
                              <w:divsChild>
                                <w:div w:id="2063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035093">
          <w:marLeft w:val="0"/>
          <w:marRight w:val="0"/>
          <w:marTop w:val="0"/>
          <w:marBottom w:val="0"/>
          <w:divBdr>
            <w:top w:val="none" w:sz="0" w:space="0" w:color="auto"/>
            <w:left w:val="none" w:sz="0" w:space="0" w:color="auto"/>
            <w:bottom w:val="none" w:sz="0" w:space="0" w:color="auto"/>
            <w:right w:val="none" w:sz="0" w:space="0" w:color="auto"/>
          </w:divBdr>
          <w:divsChild>
            <w:div w:id="1899320242">
              <w:marLeft w:val="0"/>
              <w:marRight w:val="0"/>
              <w:marTop w:val="0"/>
              <w:marBottom w:val="0"/>
              <w:divBdr>
                <w:top w:val="none" w:sz="0" w:space="0" w:color="auto"/>
                <w:left w:val="none" w:sz="0" w:space="0" w:color="auto"/>
                <w:bottom w:val="none" w:sz="0" w:space="0" w:color="auto"/>
                <w:right w:val="none" w:sz="0" w:space="0" w:color="auto"/>
              </w:divBdr>
              <w:divsChild>
                <w:div w:id="1672298083">
                  <w:marLeft w:val="0"/>
                  <w:marRight w:val="0"/>
                  <w:marTop w:val="0"/>
                  <w:marBottom w:val="0"/>
                  <w:divBdr>
                    <w:top w:val="none" w:sz="0" w:space="0" w:color="auto"/>
                    <w:left w:val="none" w:sz="0" w:space="0" w:color="auto"/>
                    <w:bottom w:val="none" w:sz="0" w:space="0" w:color="auto"/>
                    <w:right w:val="none" w:sz="0" w:space="0" w:color="auto"/>
                  </w:divBdr>
                  <w:divsChild>
                    <w:div w:id="361131799">
                      <w:marLeft w:val="0"/>
                      <w:marRight w:val="0"/>
                      <w:marTop w:val="0"/>
                      <w:marBottom w:val="0"/>
                      <w:divBdr>
                        <w:top w:val="none" w:sz="0" w:space="0" w:color="auto"/>
                        <w:left w:val="none" w:sz="0" w:space="0" w:color="auto"/>
                        <w:bottom w:val="none" w:sz="0" w:space="0" w:color="auto"/>
                        <w:right w:val="none" w:sz="0" w:space="0" w:color="auto"/>
                      </w:divBdr>
                      <w:divsChild>
                        <w:div w:id="611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910953">
      <w:bodyDiv w:val="1"/>
      <w:marLeft w:val="0"/>
      <w:marRight w:val="0"/>
      <w:marTop w:val="0"/>
      <w:marBottom w:val="0"/>
      <w:divBdr>
        <w:top w:val="none" w:sz="0" w:space="0" w:color="auto"/>
        <w:left w:val="none" w:sz="0" w:space="0" w:color="auto"/>
        <w:bottom w:val="none" w:sz="0" w:space="0" w:color="auto"/>
        <w:right w:val="none" w:sz="0" w:space="0" w:color="auto"/>
      </w:divBdr>
      <w:divsChild>
        <w:div w:id="72820873">
          <w:marLeft w:val="0"/>
          <w:marRight w:val="0"/>
          <w:marTop w:val="0"/>
          <w:marBottom w:val="0"/>
          <w:divBdr>
            <w:top w:val="none" w:sz="0" w:space="0" w:color="auto"/>
            <w:left w:val="none" w:sz="0" w:space="0" w:color="auto"/>
            <w:bottom w:val="none" w:sz="0" w:space="0" w:color="auto"/>
            <w:right w:val="none" w:sz="0" w:space="0" w:color="auto"/>
          </w:divBdr>
          <w:divsChild>
            <w:div w:id="413938865">
              <w:marLeft w:val="0"/>
              <w:marRight w:val="0"/>
              <w:marTop w:val="0"/>
              <w:marBottom w:val="0"/>
              <w:divBdr>
                <w:top w:val="none" w:sz="0" w:space="0" w:color="auto"/>
                <w:left w:val="none" w:sz="0" w:space="0" w:color="auto"/>
                <w:bottom w:val="none" w:sz="0" w:space="0" w:color="auto"/>
                <w:right w:val="none" w:sz="0" w:space="0" w:color="auto"/>
              </w:divBdr>
              <w:divsChild>
                <w:div w:id="467213451">
                  <w:marLeft w:val="0"/>
                  <w:marRight w:val="0"/>
                  <w:marTop w:val="0"/>
                  <w:marBottom w:val="0"/>
                  <w:divBdr>
                    <w:top w:val="none" w:sz="0" w:space="0" w:color="auto"/>
                    <w:left w:val="none" w:sz="0" w:space="0" w:color="auto"/>
                    <w:bottom w:val="none" w:sz="0" w:space="0" w:color="auto"/>
                    <w:right w:val="none" w:sz="0" w:space="0" w:color="auto"/>
                  </w:divBdr>
                  <w:divsChild>
                    <w:div w:id="656416948">
                      <w:marLeft w:val="0"/>
                      <w:marRight w:val="0"/>
                      <w:marTop w:val="0"/>
                      <w:marBottom w:val="0"/>
                      <w:divBdr>
                        <w:top w:val="none" w:sz="0" w:space="0" w:color="auto"/>
                        <w:left w:val="none" w:sz="0" w:space="0" w:color="auto"/>
                        <w:bottom w:val="none" w:sz="0" w:space="0" w:color="auto"/>
                        <w:right w:val="none" w:sz="0" w:space="0" w:color="auto"/>
                      </w:divBdr>
                      <w:divsChild>
                        <w:div w:id="109324196">
                          <w:marLeft w:val="0"/>
                          <w:marRight w:val="0"/>
                          <w:marTop w:val="0"/>
                          <w:marBottom w:val="0"/>
                          <w:divBdr>
                            <w:top w:val="none" w:sz="0" w:space="0" w:color="auto"/>
                            <w:left w:val="none" w:sz="0" w:space="0" w:color="auto"/>
                            <w:bottom w:val="none" w:sz="0" w:space="0" w:color="auto"/>
                            <w:right w:val="none" w:sz="0" w:space="0" w:color="auto"/>
                          </w:divBdr>
                          <w:divsChild>
                            <w:div w:id="1276328118">
                              <w:marLeft w:val="0"/>
                              <w:marRight w:val="0"/>
                              <w:marTop w:val="0"/>
                              <w:marBottom w:val="0"/>
                              <w:divBdr>
                                <w:top w:val="none" w:sz="0" w:space="0" w:color="auto"/>
                                <w:left w:val="none" w:sz="0" w:space="0" w:color="auto"/>
                                <w:bottom w:val="none" w:sz="0" w:space="0" w:color="auto"/>
                                <w:right w:val="none" w:sz="0" w:space="0" w:color="auto"/>
                              </w:divBdr>
                            </w:div>
                            <w:div w:id="1090855435">
                              <w:marLeft w:val="0"/>
                              <w:marRight w:val="0"/>
                              <w:marTop w:val="0"/>
                              <w:marBottom w:val="0"/>
                              <w:divBdr>
                                <w:top w:val="none" w:sz="0" w:space="0" w:color="auto"/>
                                <w:left w:val="none" w:sz="0" w:space="0" w:color="auto"/>
                                <w:bottom w:val="none" w:sz="0" w:space="0" w:color="auto"/>
                                <w:right w:val="none" w:sz="0" w:space="0" w:color="auto"/>
                              </w:divBdr>
                            </w:div>
                          </w:divsChild>
                        </w:div>
                        <w:div w:id="1647974433">
                          <w:marLeft w:val="0"/>
                          <w:marRight w:val="0"/>
                          <w:marTop w:val="0"/>
                          <w:marBottom w:val="0"/>
                          <w:divBdr>
                            <w:top w:val="none" w:sz="0" w:space="0" w:color="auto"/>
                            <w:left w:val="none" w:sz="0" w:space="0" w:color="auto"/>
                            <w:bottom w:val="none" w:sz="0" w:space="0" w:color="auto"/>
                            <w:right w:val="none" w:sz="0" w:space="0" w:color="auto"/>
                          </w:divBdr>
                          <w:divsChild>
                            <w:div w:id="1155607638">
                              <w:marLeft w:val="0"/>
                              <w:marRight w:val="300"/>
                              <w:marTop w:val="180"/>
                              <w:marBottom w:val="0"/>
                              <w:divBdr>
                                <w:top w:val="none" w:sz="0" w:space="0" w:color="auto"/>
                                <w:left w:val="none" w:sz="0" w:space="0" w:color="auto"/>
                                <w:bottom w:val="none" w:sz="0" w:space="0" w:color="auto"/>
                                <w:right w:val="none" w:sz="0" w:space="0" w:color="auto"/>
                              </w:divBdr>
                              <w:divsChild>
                                <w:div w:id="16167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286017">
          <w:marLeft w:val="0"/>
          <w:marRight w:val="0"/>
          <w:marTop w:val="0"/>
          <w:marBottom w:val="0"/>
          <w:divBdr>
            <w:top w:val="none" w:sz="0" w:space="0" w:color="auto"/>
            <w:left w:val="none" w:sz="0" w:space="0" w:color="auto"/>
            <w:bottom w:val="none" w:sz="0" w:space="0" w:color="auto"/>
            <w:right w:val="none" w:sz="0" w:space="0" w:color="auto"/>
          </w:divBdr>
          <w:divsChild>
            <w:div w:id="1082097541">
              <w:marLeft w:val="0"/>
              <w:marRight w:val="0"/>
              <w:marTop w:val="0"/>
              <w:marBottom w:val="0"/>
              <w:divBdr>
                <w:top w:val="none" w:sz="0" w:space="0" w:color="auto"/>
                <w:left w:val="none" w:sz="0" w:space="0" w:color="auto"/>
                <w:bottom w:val="none" w:sz="0" w:space="0" w:color="auto"/>
                <w:right w:val="none" w:sz="0" w:space="0" w:color="auto"/>
              </w:divBdr>
              <w:divsChild>
                <w:div w:id="1071467607">
                  <w:marLeft w:val="0"/>
                  <w:marRight w:val="0"/>
                  <w:marTop w:val="0"/>
                  <w:marBottom w:val="0"/>
                  <w:divBdr>
                    <w:top w:val="none" w:sz="0" w:space="0" w:color="auto"/>
                    <w:left w:val="none" w:sz="0" w:space="0" w:color="auto"/>
                    <w:bottom w:val="none" w:sz="0" w:space="0" w:color="auto"/>
                    <w:right w:val="none" w:sz="0" w:space="0" w:color="auto"/>
                  </w:divBdr>
                  <w:divsChild>
                    <w:div w:id="704719990">
                      <w:marLeft w:val="0"/>
                      <w:marRight w:val="0"/>
                      <w:marTop w:val="0"/>
                      <w:marBottom w:val="0"/>
                      <w:divBdr>
                        <w:top w:val="none" w:sz="0" w:space="0" w:color="auto"/>
                        <w:left w:val="none" w:sz="0" w:space="0" w:color="auto"/>
                        <w:bottom w:val="none" w:sz="0" w:space="0" w:color="auto"/>
                        <w:right w:val="none" w:sz="0" w:space="0" w:color="auto"/>
                      </w:divBdr>
                      <w:divsChild>
                        <w:div w:id="6741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52DE2-3448-41A7-A324-7CB71F71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28402</TotalTime>
  <Pages>3</Pages>
  <Words>964</Words>
  <Characters>5500</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Admin</dc:creator>
  <cp:keywords/>
  <dc:description/>
  <cp:lastModifiedBy>Admin</cp:lastModifiedBy>
  <cp:revision>277</cp:revision>
  <cp:lastPrinted>2017-09-11T11:14:00Z</cp:lastPrinted>
  <dcterms:created xsi:type="dcterms:W3CDTF">2017-10-01T04:49:00Z</dcterms:created>
  <dcterms:modified xsi:type="dcterms:W3CDTF">2021-05-12T00:42:00Z</dcterms:modified>
  <cp:category/>
</cp:coreProperties>
</file>